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21196" w:rsidRDefault="00570E12">
      <w:r w:rsidRPr="00570E12">
        <w:rPr>
          <w:rFonts w:cstheme="minorHAnsi"/>
          <w:i/>
          <w:noProof/>
          <w:lang w:eastAsia="hu-HU"/>
        </w:rPr>
        <mc:AlternateContent>
          <mc:Choice Requires="wps">
            <w:drawing>
              <wp:anchor distT="91440" distB="91440" distL="137160" distR="137160" simplePos="0" relativeHeight="251659264" behindDoc="0" locked="0" layoutInCell="0" allowOverlap="1">
                <wp:simplePos x="0" y="0"/>
                <wp:positionH relativeFrom="margin">
                  <wp:posOffset>1738630</wp:posOffset>
                </wp:positionH>
                <wp:positionV relativeFrom="margin">
                  <wp:posOffset>-1426845</wp:posOffset>
                </wp:positionV>
                <wp:extent cx="2343782" cy="5543550"/>
                <wp:effectExtent l="0" t="0" r="0" b="0"/>
                <wp:wrapNone/>
                <wp:docPr id="306"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43782" cy="5543550"/>
                        </a:xfrm>
                        <a:prstGeom prst="roundRect">
                          <a:avLst>
                            <a:gd name="adj" fmla="val 13032"/>
                          </a:avLst>
                        </a:prstGeom>
                        <a:solidFill>
                          <a:schemeClr val="accent1"/>
                        </a:solidFill>
                        <a:extLst/>
                      </wps:spPr>
                      <wps:txbx>
                        <w:txbxContent>
                          <w:p w:rsidR="00A35D87" w:rsidRDefault="00A35D87">
                            <w:pPr>
                              <w:jc w:val="center"/>
                              <w:rPr>
                                <w:rFonts w:asciiTheme="majorHAnsi" w:eastAsiaTheme="majorEastAsia" w:hAnsiTheme="majorHAnsi" w:cstheme="majorBidi"/>
                                <w:i/>
                                <w:iCs/>
                                <w:color w:val="FFFFFF" w:themeColor="background1"/>
                                <w:sz w:val="24"/>
                                <w:szCs w:val="28"/>
                              </w:rPr>
                            </w:pPr>
                            <w:r w:rsidRPr="00570E12">
                              <w:rPr>
                                <w:rFonts w:asciiTheme="majorHAnsi" w:eastAsiaTheme="majorEastAsia" w:hAnsiTheme="majorHAnsi" w:cstheme="majorBidi"/>
                                <w:i/>
                                <w:iCs/>
                                <w:color w:val="FFFFFF" w:themeColor="background1"/>
                                <w:sz w:val="24"/>
                                <w:szCs w:val="28"/>
                              </w:rPr>
                              <w:t>A Központi Statisztikai Hivatal döntése alapján nem váltak kutathatóvá azon adatok, amelyek a létminimum és a társadalmi minimum teljes körű kiszámításához szükségesek. Ezért ide</w:t>
                            </w:r>
                            <w:r>
                              <w:rPr>
                                <w:rFonts w:asciiTheme="majorHAnsi" w:eastAsiaTheme="majorEastAsia" w:hAnsiTheme="majorHAnsi" w:cstheme="majorBidi"/>
                                <w:i/>
                                <w:iCs/>
                                <w:color w:val="FFFFFF" w:themeColor="background1"/>
                                <w:sz w:val="24"/>
                                <w:szCs w:val="28"/>
                              </w:rPr>
                              <w:t>i évtől kezdve először előzetes</w:t>
                            </w:r>
                            <w:r w:rsidRPr="00570E12">
                              <w:rPr>
                                <w:rFonts w:asciiTheme="majorHAnsi" w:eastAsiaTheme="majorEastAsia" w:hAnsiTheme="majorHAnsi" w:cstheme="majorBidi"/>
                                <w:i/>
                                <w:iCs/>
                                <w:color w:val="FFFFFF" w:themeColor="background1"/>
                                <w:sz w:val="24"/>
                                <w:szCs w:val="28"/>
                              </w:rPr>
                              <w:t xml:space="preserve"> adatokat tudunk közöln</w:t>
                            </w:r>
                            <w:r>
                              <w:rPr>
                                <w:rFonts w:asciiTheme="majorHAnsi" w:eastAsiaTheme="majorEastAsia" w:hAnsiTheme="majorHAnsi" w:cstheme="majorBidi"/>
                                <w:i/>
                                <w:iCs/>
                                <w:color w:val="FFFFFF" w:themeColor="background1"/>
                                <w:sz w:val="24"/>
                                <w:szCs w:val="28"/>
                              </w:rPr>
                              <w:t>i</w:t>
                            </w:r>
                            <w:r w:rsidRPr="00570E12">
                              <w:rPr>
                                <w:rFonts w:asciiTheme="majorHAnsi" w:eastAsiaTheme="majorEastAsia" w:hAnsiTheme="majorHAnsi" w:cstheme="majorBidi"/>
                                <w:i/>
                                <w:iCs/>
                                <w:color w:val="FFFFFF" w:themeColor="background1"/>
                                <w:sz w:val="24"/>
                                <w:szCs w:val="28"/>
                              </w:rPr>
                              <w:t xml:space="preserve">, majd remélhetőleg év vége előtt ezek véglegesítésére is sor kerülhet. </w:t>
                            </w:r>
                          </w:p>
                          <w:p w:rsidR="00A35D87" w:rsidRPr="00570E12" w:rsidRDefault="00A35D87">
                            <w:pPr>
                              <w:jc w:val="center"/>
                              <w:rPr>
                                <w:rFonts w:asciiTheme="majorHAnsi" w:eastAsiaTheme="majorEastAsia" w:hAnsiTheme="majorHAnsi" w:cstheme="majorBidi"/>
                                <w:i/>
                                <w:iCs/>
                                <w:color w:val="FFFFFF" w:themeColor="background1"/>
                                <w:sz w:val="24"/>
                                <w:szCs w:val="28"/>
                              </w:rPr>
                            </w:pPr>
                            <w:r>
                              <w:rPr>
                                <w:rFonts w:asciiTheme="majorHAnsi" w:eastAsiaTheme="majorEastAsia" w:hAnsiTheme="majorHAnsi" w:cstheme="majorBidi"/>
                                <w:i/>
                                <w:iCs/>
                                <w:color w:val="FFFFFF" w:themeColor="background1"/>
                                <w:sz w:val="24"/>
                                <w:szCs w:val="28"/>
                              </w:rPr>
                              <w:t>2019-ben az egy felnőttből álló háztartás létminimum összege: 101.400 forint, a társadalmi minimum összege: 129.770 forint volt havonta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lakzat 2" o:spid="_x0000_s1026" style="position:absolute;margin-left:136.9pt;margin-top:-112.35pt;width:184.55pt;height:436.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" o:allowincell="f" fillcolor="#5b9bd5 [3204]" stroked="f">
                <v:textbox>
                  <w:txbxContent>
                    <w:p w:rsidR="00A35D87" w:rsidRDefault="00A35D87">
                      <w:pPr>
                        <w:jc w:val="center"/>
                        <w:rPr>
                          <w:rFonts w:asciiTheme="majorHAnsi" w:eastAsiaTheme="majorEastAsia" w:hAnsiTheme="majorHAnsi" w:cstheme="majorBidi"/>
                          <w:i/>
                          <w:iCs/>
                          <w:color w:val="FFFFFF" w:themeColor="background1"/>
                          <w:sz w:val="24"/>
                          <w:szCs w:val="28"/>
                        </w:rPr>
                      </w:pPr>
                      <w:r w:rsidRPr="00570E12">
                        <w:rPr>
                          <w:rFonts w:asciiTheme="majorHAnsi" w:eastAsiaTheme="majorEastAsia" w:hAnsiTheme="majorHAnsi" w:cstheme="majorBidi"/>
                          <w:i/>
                          <w:iCs/>
                          <w:color w:val="FFFFFF" w:themeColor="background1"/>
                          <w:sz w:val="24"/>
                          <w:szCs w:val="28"/>
                        </w:rPr>
                        <w:t>A Központi Statisztikai Hivatal döntése alapján nem váltak kutathatóvá azon adatok, amelyek a létminimum és a társadalmi minimum teljes körű kiszámításához szükségesek. Ezért ide</w:t>
                      </w:r>
                      <w:r>
                        <w:rPr>
                          <w:rFonts w:asciiTheme="majorHAnsi" w:eastAsiaTheme="majorEastAsia" w:hAnsiTheme="majorHAnsi" w:cstheme="majorBidi"/>
                          <w:i/>
                          <w:iCs/>
                          <w:color w:val="FFFFFF" w:themeColor="background1"/>
                          <w:sz w:val="24"/>
                          <w:szCs w:val="28"/>
                        </w:rPr>
                        <w:t>i évtől kezdve először előzetes</w:t>
                      </w:r>
                      <w:r w:rsidRPr="00570E12">
                        <w:rPr>
                          <w:rFonts w:asciiTheme="majorHAnsi" w:eastAsiaTheme="majorEastAsia" w:hAnsiTheme="majorHAnsi" w:cstheme="majorBidi"/>
                          <w:i/>
                          <w:iCs/>
                          <w:color w:val="FFFFFF" w:themeColor="background1"/>
                          <w:sz w:val="24"/>
                          <w:szCs w:val="28"/>
                        </w:rPr>
                        <w:t xml:space="preserve"> adatokat tudunk közöln</w:t>
                      </w:r>
                      <w:r>
                        <w:rPr>
                          <w:rFonts w:asciiTheme="majorHAnsi" w:eastAsiaTheme="majorEastAsia" w:hAnsiTheme="majorHAnsi" w:cstheme="majorBidi"/>
                          <w:i/>
                          <w:iCs/>
                          <w:color w:val="FFFFFF" w:themeColor="background1"/>
                          <w:sz w:val="24"/>
                          <w:szCs w:val="28"/>
                        </w:rPr>
                        <w:t>i</w:t>
                      </w:r>
                      <w:r w:rsidRPr="00570E12">
                        <w:rPr>
                          <w:rFonts w:asciiTheme="majorHAnsi" w:eastAsiaTheme="majorEastAsia" w:hAnsiTheme="majorHAnsi" w:cstheme="majorBidi"/>
                          <w:i/>
                          <w:iCs/>
                          <w:color w:val="FFFFFF" w:themeColor="background1"/>
                          <w:sz w:val="24"/>
                          <w:szCs w:val="28"/>
                        </w:rPr>
                        <w:t xml:space="preserve">, majd remélhetőleg év vége előtt ezek véglegesítésére is sor kerülhet. </w:t>
                      </w:r>
                    </w:p>
                    <w:p w:rsidR="00A35D87" w:rsidRPr="00570E12" w:rsidRDefault="00A35D87">
                      <w:pPr>
                        <w:jc w:val="center"/>
                        <w:rPr>
                          <w:rFonts w:asciiTheme="majorHAnsi" w:eastAsiaTheme="majorEastAsia" w:hAnsiTheme="majorHAnsi" w:cstheme="majorBidi"/>
                          <w:i/>
                          <w:iCs/>
                          <w:color w:val="FFFFFF" w:themeColor="background1"/>
                          <w:sz w:val="24"/>
                          <w:szCs w:val="28"/>
                        </w:rPr>
                      </w:pPr>
                      <w:r>
                        <w:rPr>
                          <w:rFonts w:asciiTheme="majorHAnsi" w:eastAsiaTheme="majorEastAsia" w:hAnsiTheme="majorHAnsi" w:cstheme="majorBidi"/>
                          <w:i/>
                          <w:iCs/>
                          <w:color w:val="FFFFFF" w:themeColor="background1"/>
                          <w:sz w:val="24"/>
                          <w:szCs w:val="28"/>
                        </w:rPr>
                        <w:t>2019-ben az egy felnőttből álló háztartás létminimum összege: 101.400 forint, a társadalmi minimum összege: 129.770 forint volt havonta</w:t>
                      </w:r>
                    </w:p>
                  </w:txbxContent>
                </v:textbox>
                <w10:wrap anchorx="margin" anchory="margin"/>
              </v:roundrect>
            </w:pict>
          </mc:Fallback>
        </mc:AlternateContent>
      </w:r>
    </w:p>
    <w:p w:rsidR="00570E12" w:rsidRDefault="00570E12" w:rsidP="00A53D62">
      <w:pPr>
        <w:spacing w:line="240" w:lineRule="auto"/>
        <w:jc w:val="both"/>
        <w:rPr>
          <w:rFonts w:cstheme="minorHAnsi"/>
          <w:i/>
          <w:lang w:eastAsia="hu-HU"/>
        </w:rPr>
      </w:pPr>
    </w:p>
    <w:p w:rsidR="00570E12" w:rsidRDefault="00570E12" w:rsidP="00A53D62">
      <w:pPr>
        <w:spacing w:line="240" w:lineRule="auto"/>
        <w:jc w:val="both"/>
        <w:rPr>
          <w:rFonts w:cstheme="minorHAnsi"/>
          <w:i/>
          <w:lang w:eastAsia="hu-HU"/>
        </w:rPr>
      </w:pPr>
    </w:p>
    <w:p w:rsidR="00570E12" w:rsidRDefault="00570E12" w:rsidP="00A53D62">
      <w:pPr>
        <w:spacing w:line="240" w:lineRule="auto"/>
        <w:jc w:val="both"/>
        <w:rPr>
          <w:rFonts w:cstheme="minorHAnsi"/>
          <w:i/>
          <w:lang w:eastAsia="hu-HU"/>
        </w:rPr>
      </w:pPr>
    </w:p>
    <w:p w:rsidR="00570E12" w:rsidRDefault="00570E12" w:rsidP="00A53D62">
      <w:pPr>
        <w:spacing w:line="240" w:lineRule="auto"/>
        <w:jc w:val="both"/>
        <w:rPr>
          <w:rFonts w:cstheme="minorHAnsi"/>
          <w:i/>
          <w:lang w:eastAsia="hu-HU"/>
        </w:rPr>
      </w:pPr>
    </w:p>
    <w:p w:rsidR="00570E12" w:rsidRDefault="00570E12" w:rsidP="00A53D62">
      <w:pPr>
        <w:spacing w:line="240" w:lineRule="auto"/>
        <w:jc w:val="both"/>
        <w:rPr>
          <w:rFonts w:cstheme="minorHAnsi"/>
          <w:i/>
          <w:lang w:eastAsia="hu-HU"/>
        </w:rPr>
      </w:pPr>
    </w:p>
    <w:p w:rsidR="00570E12" w:rsidRDefault="00570E12" w:rsidP="00A53D62">
      <w:pPr>
        <w:spacing w:line="240" w:lineRule="auto"/>
        <w:jc w:val="both"/>
        <w:rPr>
          <w:rFonts w:cstheme="minorHAnsi"/>
          <w:i/>
          <w:lang w:eastAsia="hu-HU"/>
        </w:rPr>
      </w:pPr>
    </w:p>
    <w:p w:rsidR="00570E12" w:rsidRDefault="00570E12" w:rsidP="00A53D62">
      <w:pPr>
        <w:spacing w:line="240" w:lineRule="auto"/>
        <w:jc w:val="both"/>
        <w:rPr>
          <w:rFonts w:cstheme="minorHAnsi"/>
          <w:i/>
          <w:lang w:eastAsia="hu-HU"/>
        </w:rPr>
      </w:pPr>
    </w:p>
    <w:p w:rsidR="00570E12" w:rsidRDefault="00570E12" w:rsidP="00A53D62">
      <w:pPr>
        <w:spacing w:line="240" w:lineRule="auto"/>
        <w:jc w:val="both"/>
        <w:rPr>
          <w:rFonts w:cstheme="minorHAnsi"/>
          <w:i/>
          <w:lang w:eastAsia="hu-HU"/>
        </w:rPr>
      </w:pPr>
    </w:p>
    <w:p w:rsidR="00570E12" w:rsidRDefault="00570E12" w:rsidP="00A53D62">
      <w:pPr>
        <w:spacing w:line="240" w:lineRule="auto"/>
        <w:jc w:val="both"/>
        <w:rPr>
          <w:rFonts w:cstheme="minorHAnsi"/>
          <w:i/>
          <w:lang w:eastAsia="hu-HU"/>
        </w:rPr>
      </w:pPr>
    </w:p>
    <w:p w:rsidR="00A53D62" w:rsidRPr="007B1241" w:rsidRDefault="00A53D62" w:rsidP="00570E12">
      <w:pPr>
        <w:spacing w:line="276" w:lineRule="auto"/>
        <w:jc w:val="both"/>
        <w:rPr>
          <w:rFonts w:cstheme="minorHAnsi"/>
          <w:i/>
          <w:lang w:eastAsia="hu-HU"/>
        </w:rPr>
      </w:pPr>
      <w:r w:rsidRPr="007B1241">
        <w:rPr>
          <w:rFonts w:cstheme="minorHAnsi"/>
          <w:i/>
          <w:lang w:eastAsia="hu-HU"/>
        </w:rPr>
        <w:t>A Központi Statisztikai Hivatal 1991 óta évente közölte a számított létminimum értéket. 201</w:t>
      </w:r>
      <w:r>
        <w:rPr>
          <w:rFonts w:cstheme="minorHAnsi"/>
          <w:i/>
          <w:lang w:eastAsia="hu-HU"/>
        </w:rPr>
        <w:t>5</w:t>
      </w:r>
      <w:r w:rsidRPr="007B1241">
        <w:rPr>
          <w:rFonts w:cstheme="minorHAnsi"/>
          <w:i/>
          <w:lang w:eastAsia="hu-HU"/>
        </w:rPr>
        <w:t>-ben a KSH bejelentette, hogy szakmai okok miatt nem folytatja a létminimum-számítás közlését. Annak érdekében, hogy ez az értékes szakmai munka ne szakadjon meg, és legyen továbbra is egy olyan mérőszám, amely megmutatja, hogy milyen a társadalmi fejlődés dinamikája,</w:t>
      </w:r>
      <w:r>
        <w:rPr>
          <w:rFonts w:cstheme="minorHAnsi"/>
          <w:i/>
          <w:lang w:eastAsia="hu-HU"/>
        </w:rPr>
        <w:t xml:space="preserve"> ezt követően </w:t>
      </w:r>
      <w:r w:rsidRPr="007B1241">
        <w:rPr>
          <w:rFonts w:cstheme="minorHAnsi"/>
          <w:i/>
          <w:lang w:eastAsia="hu-HU"/>
        </w:rPr>
        <w:t xml:space="preserve">a </w:t>
      </w:r>
      <w:r w:rsidRPr="00570E12">
        <w:rPr>
          <w:rFonts w:cstheme="minorHAnsi"/>
          <w:b/>
          <w:i/>
          <w:lang w:eastAsia="hu-HU"/>
        </w:rPr>
        <w:t>Policy Agenda folytatta a létminimum érték számítását.</w:t>
      </w:r>
      <w:r>
        <w:rPr>
          <w:rFonts w:cstheme="minorHAnsi"/>
          <w:i/>
          <w:lang w:eastAsia="hu-HU"/>
        </w:rPr>
        <w:t xml:space="preserve"> </w:t>
      </w:r>
      <w:r w:rsidRPr="007B1241">
        <w:rPr>
          <w:rFonts w:cstheme="minorHAnsi"/>
          <w:i/>
          <w:lang w:eastAsia="hu-HU"/>
        </w:rPr>
        <w:t xml:space="preserve"> </w:t>
      </w:r>
      <w:r w:rsidRPr="007B1241">
        <w:rPr>
          <w:rFonts w:cstheme="minorHAnsi"/>
          <w:b/>
          <w:i/>
          <w:lang w:eastAsia="hu-HU"/>
        </w:rPr>
        <w:t xml:space="preserve">A projekt a Friedrich Ebert </w:t>
      </w:r>
      <w:proofErr w:type="spellStart"/>
      <w:r w:rsidRPr="007B1241">
        <w:rPr>
          <w:rFonts w:cstheme="minorHAnsi"/>
          <w:b/>
          <w:i/>
          <w:lang w:eastAsia="hu-HU"/>
        </w:rPr>
        <w:t>Stiftung</w:t>
      </w:r>
      <w:proofErr w:type="spellEnd"/>
      <w:r w:rsidRPr="007B1241">
        <w:rPr>
          <w:rFonts w:cstheme="minorHAnsi"/>
          <w:b/>
          <w:i/>
          <w:lang w:eastAsia="hu-HU"/>
        </w:rPr>
        <w:t xml:space="preserve"> és a Magyar Szakszervezeti Szövetség</w:t>
      </w:r>
      <w:r>
        <w:rPr>
          <w:rFonts w:cstheme="minorHAnsi"/>
          <w:i/>
          <w:lang w:eastAsia="hu-HU"/>
        </w:rPr>
        <w:t xml:space="preserve"> közös kutatási programja keretében valósul meg.</w:t>
      </w:r>
    </w:p>
    <w:p w:rsidR="00A53D62" w:rsidRDefault="00A53D62" w:rsidP="00570E12">
      <w:pPr>
        <w:spacing w:line="276" w:lineRule="auto"/>
        <w:jc w:val="both"/>
        <w:rPr>
          <w:rFonts w:cstheme="minorHAnsi"/>
          <w:lang w:eastAsia="hu-HU"/>
        </w:rPr>
      </w:pPr>
      <w:r>
        <w:t xml:space="preserve">A létminimum </w:t>
      </w:r>
      <w:r w:rsidRPr="007B1241">
        <w:rPr>
          <w:rFonts w:cstheme="minorHAnsi"/>
          <w:lang w:eastAsia="hu-HU"/>
        </w:rPr>
        <w:t>összeg</w:t>
      </w:r>
      <w:r>
        <w:rPr>
          <w:rFonts w:cstheme="minorHAnsi"/>
          <w:lang w:eastAsia="hu-HU"/>
        </w:rPr>
        <w:t xml:space="preserve">e </w:t>
      </w:r>
      <w:r w:rsidRPr="007B1241">
        <w:rPr>
          <w:rFonts w:cstheme="minorHAnsi"/>
          <w:lang w:eastAsia="hu-HU"/>
        </w:rPr>
        <w:t>azt mutatja, hogy mekkora jövedelem szükséges egy háztartásnak ahhoz, hogy biztosíthassa</w:t>
      </w:r>
      <w:r>
        <w:rPr>
          <w:rFonts w:cstheme="minorHAnsi"/>
          <w:lang w:eastAsia="hu-HU"/>
        </w:rPr>
        <w:t xml:space="preserve"> </w:t>
      </w:r>
      <w:r w:rsidRPr="007B1241">
        <w:rPr>
          <w:rFonts w:cstheme="minorHAnsi"/>
          <w:lang w:eastAsia="hu-HU"/>
        </w:rPr>
        <w:t>tagjai számára a folyamatos életvitellel kapcsolatos szerény - a társadalom adott fejlettségi szintjén konvencionálisan megfelelőnek minősülő - szükségletek kielégítését. Az általunk is kimutatott létminimum tehát nem szegénységi küszöb, hanem olyan jövedelem, amely az alapvető</w:t>
      </w:r>
      <w:r>
        <w:rPr>
          <w:rFonts w:cstheme="minorHAnsi"/>
          <w:lang w:eastAsia="hu-HU"/>
        </w:rPr>
        <w:t xml:space="preserve"> </w:t>
      </w:r>
      <w:r w:rsidRPr="007B1241">
        <w:rPr>
          <w:rFonts w:cstheme="minorHAnsi"/>
          <w:lang w:eastAsia="hu-HU"/>
        </w:rPr>
        <w:t>szükségleteken túli igények kielégítését is</w:t>
      </w:r>
      <w:r>
        <w:rPr>
          <w:rFonts w:cstheme="minorHAnsi"/>
          <w:lang w:eastAsia="hu-HU"/>
        </w:rPr>
        <w:t xml:space="preserve"> </w:t>
      </w:r>
      <w:r w:rsidRPr="007B1241">
        <w:rPr>
          <w:rFonts w:cstheme="minorHAnsi"/>
          <w:lang w:eastAsia="hu-HU"/>
        </w:rPr>
        <w:t>lehetővé teszi.</w:t>
      </w:r>
    </w:p>
    <w:p w:rsidR="00570E12" w:rsidRDefault="00570E12" w:rsidP="00A53D62">
      <w:pPr>
        <w:spacing w:line="240" w:lineRule="auto"/>
        <w:jc w:val="both"/>
        <w:rPr>
          <w:rFonts w:cstheme="minorHAnsi"/>
          <w:lang w:eastAsia="hu-HU"/>
        </w:rPr>
      </w:pPr>
    </w:p>
    <w:p w:rsidR="00A53D62" w:rsidRDefault="00A53D62" w:rsidP="00570E12">
      <w:pPr>
        <w:pStyle w:val="Cmsor1"/>
        <w:numPr>
          <w:ilvl w:val="0"/>
          <w:numId w:val="6"/>
        </w:numPr>
        <w:rPr>
          <w:lang w:eastAsia="hu-HU"/>
        </w:rPr>
      </w:pPr>
      <w:r>
        <w:rPr>
          <w:lang w:eastAsia="hu-HU"/>
        </w:rPr>
        <w:t>Létminimum élelmiszerko</w:t>
      </w:r>
      <w:r w:rsidR="00570E12">
        <w:rPr>
          <w:lang w:eastAsia="hu-HU"/>
        </w:rPr>
        <w:t>sár</w:t>
      </w:r>
    </w:p>
    <w:p w:rsidR="00570E12" w:rsidRPr="00570E12" w:rsidRDefault="00570E12" w:rsidP="00570E12">
      <w:pPr>
        <w:rPr>
          <w:lang w:eastAsia="hu-HU"/>
        </w:rPr>
      </w:pPr>
    </w:p>
    <w:p w:rsidR="00A53D62" w:rsidRDefault="00A53D62" w:rsidP="00570E12">
      <w:pPr>
        <w:spacing w:line="276" w:lineRule="auto"/>
        <w:jc w:val="both"/>
        <w:rPr>
          <w:rFonts w:cstheme="minorHAnsi"/>
          <w:lang w:eastAsia="hu-HU"/>
        </w:rPr>
      </w:pPr>
      <w:r>
        <w:rPr>
          <w:rFonts w:cstheme="minorHAnsi"/>
          <w:lang w:eastAsia="hu-HU"/>
        </w:rPr>
        <w:t xml:space="preserve">A létminimum, követve a Központi Statisztikai Hivatal által korábban alkalmazott módszert, </w:t>
      </w:r>
      <w:r w:rsidRPr="007B1241">
        <w:rPr>
          <w:rFonts w:cstheme="minorHAnsi"/>
          <w:lang w:eastAsia="hu-HU"/>
        </w:rPr>
        <w:t xml:space="preserve">sajátos normatív számítást alkalmaz, amely az élelmiszer-fogyasztás értékének meghatározására épül. Ez </w:t>
      </w:r>
      <w:r w:rsidRPr="007B1241">
        <w:rPr>
          <w:rFonts w:cstheme="minorHAnsi"/>
          <w:lang w:eastAsia="hu-HU"/>
        </w:rPr>
        <w:lastRenderedPageBreak/>
        <w:t>pedig az Országos Élelmiszer- és Táplálkozástudományi Intézet (OÉTI) élelmiszer-normatívája alapján összeállított élelmiszerkosár, amely az egészséges táplálkozás jellemzői mellett figyelembe veszi az életkori sajátosságokat is. Az élelmiszerkosár értéke az abban szereplő tételeknek az adott időszakra jellemző árakon számba vett forintösszege, a létminimum pedig az élelmiszer-normatíva körüli értékben élelmiszert fogyasztó háztartások összes személyes kiadásának havi átlagos értéke.</w:t>
      </w:r>
    </w:p>
    <w:p w:rsidR="00A53D62" w:rsidRDefault="00A53D62" w:rsidP="00570E12">
      <w:pPr>
        <w:spacing w:line="276" w:lineRule="auto"/>
        <w:jc w:val="both"/>
        <w:rPr>
          <w:rFonts w:cstheme="minorHAnsi"/>
          <w:lang w:eastAsia="hu-HU"/>
        </w:rPr>
      </w:pPr>
      <w:r w:rsidRPr="007B1241">
        <w:rPr>
          <w:rFonts w:cstheme="minorHAnsi"/>
          <w:lang w:eastAsia="hu-HU"/>
        </w:rPr>
        <w:t>Az élelmiszer-fogyasztás normatív értékét az élelmiszerkosárban foglalt mennyiségeknek a konkrét időszakra jellemző árakon összegzett értéke adja. A kosár mennyiségeit a 201</w:t>
      </w:r>
      <w:r w:rsidR="00A35D87">
        <w:rPr>
          <w:rFonts w:cstheme="minorHAnsi"/>
          <w:lang w:eastAsia="hu-HU"/>
        </w:rPr>
        <w:t>9</w:t>
      </w:r>
      <w:r w:rsidRPr="007B1241">
        <w:rPr>
          <w:rFonts w:cstheme="minorHAnsi"/>
          <w:lang w:eastAsia="hu-HU"/>
        </w:rPr>
        <w:t xml:space="preserve">. év átlagáraival szorozva, </w:t>
      </w:r>
      <w:r w:rsidRPr="007B1241">
        <w:rPr>
          <w:rFonts w:cstheme="minorHAnsi"/>
          <w:b/>
          <w:lang w:eastAsia="hu-HU"/>
        </w:rPr>
        <w:t>az élelmiszer-kosár pénzben kifejezett,</w:t>
      </w:r>
      <w:r>
        <w:rPr>
          <w:rFonts w:cstheme="minorHAnsi"/>
          <w:b/>
          <w:lang w:eastAsia="hu-HU"/>
        </w:rPr>
        <w:t xml:space="preserve"> </w:t>
      </w:r>
      <w:r w:rsidRPr="007B1241">
        <w:rPr>
          <w:rFonts w:cstheme="minorHAnsi"/>
          <w:lang w:eastAsia="hu-HU"/>
        </w:rPr>
        <w:t xml:space="preserve">egy aktív korú felnőtt élelmiszer-normatívájaként </w:t>
      </w:r>
      <w:r w:rsidRPr="007B1241">
        <w:rPr>
          <w:rFonts w:cstheme="minorHAnsi"/>
          <w:b/>
          <w:lang w:eastAsia="hu-HU"/>
        </w:rPr>
        <w:t xml:space="preserve">általunk számított értéke havi </w:t>
      </w:r>
      <w:r w:rsidR="00A35D87">
        <w:rPr>
          <w:rFonts w:cstheme="minorHAnsi"/>
          <w:b/>
          <w:lang w:eastAsia="hu-HU"/>
        </w:rPr>
        <w:t>28</w:t>
      </w:r>
      <w:r>
        <w:rPr>
          <w:rFonts w:cstheme="minorHAnsi"/>
          <w:b/>
          <w:lang w:eastAsia="hu-HU"/>
        </w:rPr>
        <w:t> </w:t>
      </w:r>
      <w:r w:rsidR="00A35D87">
        <w:rPr>
          <w:rFonts w:cstheme="minorHAnsi"/>
          <w:b/>
          <w:lang w:eastAsia="hu-HU"/>
        </w:rPr>
        <w:t>167</w:t>
      </w:r>
      <w:r>
        <w:rPr>
          <w:rFonts w:cstheme="minorHAnsi"/>
          <w:b/>
          <w:lang w:eastAsia="hu-HU"/>
        </w:rPr>
        <w:t xml:space="preserve"> </w:t>
      </w:r>
      <w:r w:rsidRPr="007B1241">
        <w:rPr>
          <w:rFonts w:cstheme="minorHAnsi"/>
          <w:b/>
          <w:lang w:eastAsia="hu-HU"/>
        </w:rPr>
        <w:t>Ft</w:t>
      </w:r>
      <w:r w:rsidRPr="007B1241">
        <w:rPr>
          <w:rFonts w:cstheme="minorHAnsi"/>
          <w:lang w:eastAsia="hu-HU"/>
        </w:rPr>
        <w:t>.</w:t>
      </w:r>
    </w:p>
    <w:p w:rsidR="00165426" w:rsidRDefault="00165426" w:rsidP="00570E12">
      <w:pPr>
        <w:spacing w:line="276" w:lineRule="auto"/>
        <w:jc w:val="both"/>
        <w:rPr>
          <w:rFonts w:cstheme="minorHAnsi"/>
          <w:lang w:eastAsia="hu-HU"/>
        </w:rPr>
      </w:pPr>
      <w:r>
        <w:rPr>
          <w:rFonts w:cstheme="minorHAnsi"/>
          <w:lang w:eastAsia="hu-HU"/>
        </w:rPr>
        <w:t>Az élelmiszerkosár drágulásának fő okozói a zöldségek (különösen a burgonya), és a</w:t>
      </w:r>
      <w:r w:rsidR="00A35D87">
        <w:rPr>
          <w:rFonts w:cstheme="minorHAnsi"/>
          <w:lang w:eastAsia="hu-HU"/>
        </w:rPr>
        <w:t xml:space="preserve"> </w:t>
      </w:r>
      <w:proofErr w:type="gramStart"/>
      <w:r w:rsidR="00A35D87">
        <w:rPr>
          <w:rFonts w:cstheme="minorHAnsi"/>
          <w:lang w:eastAsia="hu-HU"/>
        </w:rPr>
        <w:t xml:space="preserve">gabonafélék </w:t>
      </w:r>
      <w:r>
        <w:rPr>
          <w:rFonts w:cstheme="minorHAnsi"/>
          <w:lang w:eastAsia="hu-HU"/>
        </w:rPr>
        <w:t xml:space="preserve"> árának</w:t>
      </w:r>
      <w:proofErr w:type="gramEnd"/>
      <w:r>
        <w:rPr>
          <w:rFonts w:cstheme="minorHAnsi"/>
          <w:lang w:eastAsia="hu-HU"/>
        </w:rPr>
        <w:t xml:space="preserve"> </w:t>
      </w:r>
      <w:r w:rsidR="00A35D87">
        <w:rPr>
          <w:rFonts w:cstheme="minorHAnsi"/>
          <w:lang w:eastAsia="hu-HU"/>
        </w:rPr>
        <w:t>jelentős növekedése volt</w:t>
      </w:r>
      <w:r>
        <w:rPr>
          <w:rFonts w:cstheme="minorHAnsi"/>
          <w:lang w:eastAsia="hu-HU"/>
        </w:rPr>
        <w:t xml:space="preserve">. </w:t>
      </w:r>
    </w:p>
    <w:tbl>
      <w:tblPr>
        <w:tblW w:w="0" w:type="auto"/>
        <w:jc w:val="center"/>
        <w:tblCellMar>
          <w:left w:w="70" w:type="dxa"/>
          <w:right w:w="70" w:type="dxa"/>
        </w:tblCellMar>
        <w:tblLook w:val="04A0" w:firstRow="1" w:lastRow="0" w:firstColumn="1" w:lastColumn="0" w:noHBand="0" w:noVBand="1"/>
      </w:tblPr>
      <w:tblGrid>
        <w:gridCol w:w="2413"/>
        <w:gridCol w:w="1452"/>
        <w:gridCol w:w="1276"/>
      </w:tblGrid>
      <w:tr w:rsidR="00A53D62" w:rsidRPr="007B1241" w:rsidTr="00A53D62">
        <w:trPr>
          <w:trHeight w:val="705"/>
          <w:jc w:val="center"/>
        </w:trPr>
        <w:tc>
          <w:tcPr>
            <w:tcW w:w="0" w:type="auto"/>
            <w:gridSpan w:val="3"/>
            <w:tcBorders>
              <w:top w:val="nil"/>
              <w:left w:val="nil"/>
              <w:bottom w:val="nil"/>
              <w:right w:val="nil"/>
            </w:tcBorders>
            <w:shd w:val="clear" w:color="auto" w:fill="auto"/>
            <w:vAlign w:val="bottom"/>
            <w:hideMark/>
          </w:tcPr>
          <w:p w:rsidR="00A53D62" w:rsidRPr="00B341E9" w:rsidRDefault="00A53D62" w:rsidP="00A53D62">
            <w:pPr>
              <w:pStyle w:val="Listaszerbekezds"/>
              <w:numPr>
                <w:ilvl w:val="0"/>
                <w:numId w:val="1"/>
              </w:numPr>
              <w:spacing w:after="0" w:line="240" w:lineRule="auto"/>
              <w:ind w:left="360"/>
              <w:jc w:val="right"/>
              <w:rPr>
                <w:rFonts w:cstheme="minorHAnsi"/>
                <w:b/>
                <w:bCs/>
                <w:sz w:val="20"/>
                <w:szCs w:val="20"/>
                <w:lang w:eastAsia="hu-HU"/>
              </w:rPr>
            </w:pPr>
            <w:r w:rsidRPr="00B341E9">
              <w:rPr>
                <w:rFonts w:cstheme="minorHAnsi"/>
                <w:sz w:val="20"/>
                <w:szCs w:val="20"/>
                <w:lang w:eastAsia="hu-HU"/>
              </w:rPr>
              <w:br w:type="page"/>
            </w:r>
            <w:r w:rsidRPr="00B341E9">
              <w:rPr>
                <w:rFonts w:cstheme="minorHAnsi"/>
                <w:b/>
                <w:bCs/>
                <w:sz w:val="20"/>
                <w:szCs w:val="20"/>
              </w:rPr>
              <w:t xml:space="preserve">tábla </w:t>
            </w:r>
          </w:p>
          <w:p w:rsidR="00A53D62" w:rsidRDefault="00A53D62" w:rsidP="00321196">
            <w:pPr>
              <w:spacing w:after="0" w:line="240" w:lineRule="auto"/>
              <w:jc w:val="center"/>
              <w:rPr>
                <w:rFonts w:cstheme="minorHAnsi"/>
                <w:b/>
                <w:bCs/>
                <w:sz w:val="20"/>
                <w:szCs w:val="20"/>
                <w:lang w:eastAsia="hu-HU"/>
              </w:rPr>
            </w:pPr>
            <w:r w:rsidRPr="00B341E9">
              <w:rPr>
                <w:rFonts w:cstheme="minorHAnsi"/>
                <w:b/>
                <w:bCs/>
                <w:sz w:val="20"/>
                <w:szCs w:val="20"/>
                <w:lang w:eastAsia="hu-HU"/>
              </w:rPr>
              <w:t>A létminimum-számítás aktív korú felnőttre vonatkozó</w:t>
            </w:r>
          </w:p>
          <w:p w:rsidR="00A53D62" w:rsidRPr="00B341E9" w:rsidRDefault="00A53D62" w:rsidP="00321196">
            <w:pPr>
              <w:spacing w:after="0" w:line="240" w:lineRule="auto"/>
              <w:jc w:val="center"/>
              <w:rPr>
                <w:rFonts w:cstheme="minorHAnsi"/>
                <w:b/>
                <w:bCs/>
                <w:sz w:val="20"/>
                <w:szCs w:val="20"/>
                <w:lang w:eastAsia="hu-HU"/>
              </w:rPr>
            </w:pPr>
            <w:r w:rsidRPr="00B341E9">
              <w:rPr>
                <w:rFonts w:cstheme="minorHAnsi"/>
                <w:b/>
                <w:bCs/>
                <w:sz w:val="20"/>
                <w:szCs w:val="20"/>
                <w:lang w:eastAsia="hu-HU"/>
              </w:rPr>
              <w:t xml:space="preserve"> normatív élelmiszerkosara, 201</w:t>
            </w:r>
            <w:r w:rsidR="008C6770">
              <w:rPr>
                <w:rFonts w:cstheme="minorHAnsi"/>
                <w:b/>
                <w:bCs/>
                <w:sz w:val="20"/>
                <w:szCs w:val="20"/>
                <w:lang w:eastAsia="hu-HU"/>
              </w:rPr>
              <w:t>9</w:t>
            </w:r>
          </w:p>
        </w:tc>
      </w:tr>
      <w:tr w:rsidR="00A53D62" w:rsidRPr="007B1241" w:rsidTr="00A53D62">
        <w:trPr>
          <w:trHeight w:val="300"/>
          <w:jc w:val="center"/>
        </w:trPr>
        <w:tc>
          <w:tcPr>
            <w:tcW w:w="0" w:type="auto"/>
            <w:tcBorders>
              <w:top w:val="nil"/>
              <w:left w:val="nil"/>
              <w:bottom w:val="nil"/>
              <w:right w:val="nil"/>
            </w:tcBorders>
            <w:shd w:val="clear" w:color="auto" w:fill="auto"/>
            <w:noWrap/>
            <w:vAlign w:val="bottom"/>
            <w:hideMark/>
          </w:tcPr>
          <w:p w:rsidR="00A53D62" w:rsidRPr="007B1241" w:rsidRDefault="00A53D62" w:rsidP="00321196">
            <w:pPr>
              <w:spacing w:after="0" w:line="240" w:lineRule="auto"/>
              <w:rPr>
                <w:rFonts w:eastAsia="Times New Roman" w:cstheme="minorHAnsi"/>
                <w:lang w:eastAsia="hu-HU"/>
              </w:rPr>
            </w:pPr>
          </w:p>
        </w:tc>
        <w:tc>
          <w:tcPr>
            <w:tcW w:w="0" w:type="auto"/>
            <w:tcBorders>
              <w:top w:val="nil"/>
              <w:left w:val="nil"/>
              <w:bottom w:val="nil"/>
              <w:right w:val="nil"/>
            </w:tcBorders>
            <w:shd w:val="clear" w:color="auto" w:fill="auto"/>
            <w:noWrap/>
            <w:vAlign w:val="bottom"/>
            <w:hideMark/>
          </w:tcPr>
          <w:p w:rsidR="00A53D62" w:rsidRPr="007B1241" w:rsidRDefault="00A53D62" w:rsidP="00321196">
            <w:pPr>
              <w:spacing w:after="0" w:line="240" w:lineRule="auto"/>
              <w:rPr>
                <w:rFonts w:eastAsia="Times New Roman" w:cstheme="minorHAnsi"/>
                <w:lang w:eastAsia="hu-HU"/>
              </w:rPr>
            </w:pPr>
          </w:p>
        </w:tc>
        <w:tc>
          <w:tcPr>
            <w:tcW w:w="0" w:type="auto"/>
            <w:tcBorders>
              <w:top w:val="nil"/>
              <w:left w:val="nil"/>
              <w:bottom w:val="nil"/>
              <w:right w:val="nil"/>
            </w:tcBorders>
            <w:shd w:val="clear" w:color="auto" w:fill="auto"/>
            <w:noWrap/>
            <w:vAlign w:val="bottom"/>
            <w:hideMark/>
          </w:tcPr>
          <w:p w:rsidR="00A53D62" w:rsidRPr="007B1241" w:rsidRDefault="00A53D62" w:rsidP="00321196">
            <w:pPr>
              <w:spacing w:after="0" w:line="240" w:lineRule="auto"/>
              <w:rPr>
                <w:rFonts w:eastAsia="Times New Roman" w:cstheme="minorHAnsi"/>
                <w:lang w:eastAsia="hu-HU"/>
              </w:rPr>
            </w:pPr>
          </w:p>
        </w:tc>
      </w:tr>
      <w:tr w:rsidR="00A53D62" w:rsidRPr="007B1241" w:rsidTr="00A53D62">
        <w:trPr>
          <w:trHeight w:val="600"/>
          <w:jc w:val="center"/>
        </w:trPr>
        <w:tc>
          <w:tcPr>
            <w:tcW w:w="0" w:type="auto"/>
            <w:tcBorders>
              <w:top w:val="single" w:sz="4" w:space="0" w:color="auto"/>
              <w:left w:val="nil"/>
              <w:bottom w:val="single" w:sz="4" w:space="0" w:color="auto"/>
              <w:right w:val="single" w:sz="4" w:space="0" w:color="auto"/>
            </w:tcBorders>
            <w:shd w:val="clear" w:color="auto" w:fill="auto"/>
            <w:noWrap/>
            <w:hideMark/>
          </w:tcPr>
          <w:p w:rsidR="00A53D62" w:rsidRPr="0018525E" w:rsidRDefault="00A53D62" w:rsidP="00321196">
            <w:pPr>
              <w:spacing w:line="240" w:lineRule="auto"/>
              <w:rPr>
                <w:sz w:val="18"/>
                <w:szCs w:val="18"/>
              </w:rPr>
            </w:pPr>
            <w:r w:rsidRPr="0018525E">
              <w:rPr>
                <w:sz w:val="18"/>
                <w:szCs w:val="18"/>
              </w:rPr>
              <w:t>Az élelmiszerek főbb csoportjai</w:t>
            </w:r>
          </w:p>
        </w:tc>
        <w:tc>
          <w:tcPr>
            <w:tcW w:w="0" w:type="auto"/>
            <w:tcBorders>
              <w:top w:val="single" w:sz="4" w:space="0" w:color="auto"/>
              <w:left w:val="nil"/>
              <w:bottom w:val="single" w:sz="4" w:space="0" w:color="auto"/>
              <w:right w:val="single" w:sz="4" w:space="0" w:color="auto"/>
            </w:tcBorders>
            <w:shd w:val="clear" w:color="auto" w:fill="auto"/>
            <w:hideMark/>
          </w:tcPr>
          <w:p w:rsidR="00A53D62" w:rsidRPr="0018525E" w:rsidRDefault="00A53D62" w:rsidP="00321196">
            <w:pPr>
              <w:spacing w:line="240" w:lineRule="auto"/>
              <w:rPr>
                <w:sz w:val="18"/>
                <w:szCs w:val="18"/>
              </w:rPr>
            </w:pPr>
            <w:r w:rsidRPr="0018525E">
              <w:rPr>
                <w:sz w:val="18"/>
                <w:szCs w:val="18"/>
              </w:rPr>
              <w:t>Mennyiség/hó, kg</w:t>
            </w:r>
          </w:p>
        </w:tc>
        <w:tc>
          <w:tcPr>
            <w:tcW w:w="0" w:type="auto"/>
            <w:tcBorders>
              <w:top w:val="single" w:sz="4" w:space="0" w:color="auto"/>
              <w:left w:val="nil"/>
              <w:bottom w:val="single" w:sz="4" w:space="0" w:color="auto"/>
              <w:right w:val="nil"/>
            </w:tcBorders>
            <w:shd w:val="clear" w:color="auto" w:fill="auto"/>
            <w:hideMark/>
          </w:tcPr>
          <w:p w:rsidR="00A53D62" w:rsidRPr="0018525E" w:rsidRDefault="00A53D62" w:rsidP="00321196">
            <w:pPr>
              <w:spacing w:line="240" w:lineRule="auto"/>
              <w:rPr>
                <w:sz w:val="18"/>
                <w:szCs w:val="18"/>
              </w:rPr>
            </w:pPr>
            <w:r w:rsidRPr="0018525E">
              <w:rPr>
                <w:sz w:val="18"/>
                <w:szCs w:val="18"/>
              </w:rPr>
              <w:t>Érték, forint/hó</w:t>
            </w:r>
          </w:p>
        </w:tc>
      </w:tr>
      <w:tr w:rsidR="00A53D62" w:rsidRPr="007B1241" w:rsidTr="00A53D62">
        <w:trPr>
          <w:trHeight w:val="300"/>
          <w:jc w:val="center"/>
        </w:trPr>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Hús, hal és készítményeik</w:t>
            </w:r>
          </w:p>
        </w:tc>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3,4</w:t>
            </w:r>
          </w:p>
        </w:tc>
        <w:tc>
          <w:tcPr>
            <w:tcW w:w="0" w:type="auto"/>
            <w:tcBorders>
              <w:top w:val="nil"/>
              <w:left w:val="nil"/>
              <w:bottom w:val="nil"/>
              <w:right w:val="nil"/>
            </w:tcBorders>
            <w:shd w:val="clear" w:color="auto" w:fill="auto"/>
            <w:noWrap/>
            <w:vAlign w:val="bottom"/>
            <w:hideMark/>
          </w:tcPr>
          <w:p w:rsidR="00A53D62" w:rsidRPr="00746605" w:rsidRDefault="00A35D87" w:rsidP="00321196">
            <w:pPr>
              <w:jc w:val="right"/>
              <w:rPr>
                <w:rFonts w:ascii="Calibri" w:hAnsi="Calibri" w:cs="Calibri"/>
                <w:color w:val="000000"/>
                <w:sz w:val="18"/>
                <w:szCs w:val="18"/>
              </w:rPr>
            </w:pPr>
            <w:r>
              <w:rPr>
                <w:rFonts w:ascii="Calibri" w:hAnsi="Calibri" w:cs="Calibri"/>
                <w:color w:val="000000"/>
                <w:sz w:val="18"/>
                <w:szCs w:val="18"/>
              </w:rPr>
              <w:t>4 846</w:t>
            </w:r>
          </w:p>
        </w:tc>
      </w:tr>
      <w:tr w:rsidR="00A53D62" w:rsidRPr="007B1241" w:rsidTr="00A53D62">
        <w:trPr>
          <w:trHeight w:val="300"/>
          <w:jc w:val="center"/>
        </w:trPr>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Tojás (161 darab/év)</w:t>
            </w:r>
          </w:p>
        </w:tc>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0,5</w:t>
            </w:r>
          </w:p>
        </w:tc>
        <w:tc>
          <w:tcPr>
            <w:tcW w:w="0" w:type="auto"/>
            <w:tcBorders>
              <w:top w:val="nil"/>
              <w:left w:val="nil"/>
              <w:bottom w:val="nil"/>
              <w:right w:val="nil"/>
            </w:tcBorders>
            <w:shd w:val="clear" w:color="auto" w:fill="auto"/>
            <w:noWrap/>
            <w:vAlign w:val="bottom"/>
            <w:hideMark/>
          </w:tcPr>
          <w:p w:rsidR="00A53D62" w:rsidRPr="00746605" w:rsidRDefault="00A35D87" w:rsidP="00321196">
            <w:pPr>
              <w:jc w:val="right"/>
              <w:rPr>
                <w:rFonts w:ascii="Calibri" w:hAnsi="Calibri" w:cs="Calibri"/>
                <w:color w:val="000000"/>
                <w:sz w:val="18"/>
                <w:szCs w:val="18"/>
              </w:rPr>
            </w:pPr>
            <w:r>
              <w:rPr>
                <w:rFonts w:ascii="Calibri" w:hAnsi="Calibri" w:cs="Calibri"/>
                <w:color w:val="000000"/>
                <w:sz w:val="18"/>
                <w:szCs w:val="18"/>
              </w:rPr>
              <w:t>547</w:t>
            </w:r>
          </w:p>
        </w:tc>
      </w:tr>
      <w:tr w:rsidR="00A53D62" w:rsidRPr="007B1241" w:rsidTr="00A53D62">
        <w:trPr>
          <w:trHeight w:val="300"/>
          <w:jc w:val="center"/>
        </w:trPr>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Tej (2,8 és 1,5%-os), liter</w:t>
            </w:r>
          </w:p>
        </w:tc>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7,9</w:t>
            </w:r>
          </w:p>
        </w:tc>
        <w:tc>
          <w:tcPr>
            <w:tcW w:w="0" w:type="auto"/>
            <w:tcBorders>
              <w:top w:val="nil"/>
              <w:left w:val="nil"/>
              <w:bottom w:val="nil"/>
              <w:right w:val="nil"/>
            </w:tcBorders>
            <w:shd w:val="clear" w:color="auto" w:fill="auto"/>
            <w:noWrap/>
            <w:vAlign w:val="bottom"/>
            <w:hideMark/>
          </w:tcPr>
          <w:p w:rsidR="00A53D62" w:rsidRPr="00746605" w:rsidRDefault="00A35D87" w:rsidP="00321196">
            <w:pPr>
              <w:jc w:val="right"/>
              <w:rPr>
                <w:rFonts w:ascii="Calibri" w:hAnsi="Calibri" w:cs="Calibri"/>
                <w:color w:val="000000"/>
                <w:sz w:val="18"/>
                <w:szCs w:val="18"/>
              </w:rPr>
            </w:pPr>
            <w:r>
              <w:rPr>
                <w:rFonts w:ascii="Calibri" w:hAnsi="Calibri" w:cs="Calibri"/>
                <w:color w:val="000000"/>
                <w:sz w:val="18"/>
                <w:szCs w:val="18"/>
              </w:rPr>
              <w:t>1 692</w:t>
            </w:r>
          </w:p>
        </w:tc>
      </w:tr>
      <w:tr w:rsidR="00A53D62" w:rsidRPr="007B1241" w:rsidTr="00A53D62">
        <w:trPr>
          <w:trHeight w:val="300"/>
          <w:jc w:val="center"/>
        </w:trPr>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Sajt, és egyéb tejtermékek</w:t>
            </w:r>
          </w:p>
        </w:tc>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2,4</w:t>
            </w:r>
          </w:p>
        </w:tc>
        <w:tc>
          <w:tcPr>
            <w:tcW w:w="0" w:type="auto"/>
            <w:tcBorders>
              <w:top w:val="nil"/>
              <w:left w:val="nil"/>
              <w:bottom w:val="nil"/>
              <w:right w:val="nil"/>
            </w:tcBorders>
            <w:shd w:val="clear" w:color="auto" w:fill="auto"/>
            <w:noWrap/>
            <w:vAlign w:val="bottom"/>
            <w:hideMark/>
          </w:tcPr>
          <w:p w:rsidR="00A53D62" w:rsidRPr="00746605" w:rsidRDefault="00A35D87" w:rsidP="00321196">
            <w:pPr>
              <w:jc w:val="right"/>
              <w:rPr>
                <w:rFonts w:ascii="Calibri" w:hAnsi="Calibri" w:cs="Calibri"/>
                <w:color w:val="000000"/>
                <w:sz w:val="18"/>
                <w:szCs w:val="18"/>
              </w:rPr>
            </w:pPr>
            <w:r>
              <w:rPr>
                <w:rFonts w:ascii="Calibri" w:hAnsi="Calibri" w:cs="Calibri"/>
                <w:color w:val="000000"/>
                <w:sz w:val="18"/>
                <w:szCs w:val="18"/>
              </w:rPr>
              <w:t>2 381</w:t>
            </w:r>
          </w:p>
        </w:tc>
      </w:tr>
      <w:tr w:rsidR="00A53D62" w:rsidRPr="007B1241" w:rsidTr="00A53D62">
        <w:trPr>
          <w:trHeight w:val="300"/>
          <w:jc w:val="center"/>
        </w:trPr>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Zsiradékok</w:t>
            </w:r>
          </w:p>
        </w:tc>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1,4</w:t>
            </w:r>
          </w:p>
        </w:tc>
        <w:tc>
          <w:tcPr>
            <w:tcW w:w="0" w:type="auto"/>
            <w:tcBorders>
              <w:top w:val="nil"/>
              <w:left w:val="nil"/>
              <w:bottom w:val="nil"/>
              <w:right w:val="nil"/>
            </w:tcBorders>
            <w:shd w:val="clear" w:color="auto" w:fill="auto"/>
            <w:noWrap/>
            <w:vAlign w:val="bottom"/>
            <w:hideMark/>
          </w:tcPr>
          <w:p w:rsidR="00A53D62" w:rsidRPr="00746605" w:rsidRDefault="00A35D87" w:rsidP="00321196">
            <w:pPr>
              <w:jc w:val="right"/>
              <w:rPr>
                <w:rFonts w:ascii="Calibri" w:hAnsi="Calibri" w:cs="Calibri"/>
                <w:sz w:val="18"/>
                <w:szCs w:val="18"/>
              </w:rPr>
            </w:pPr>
            <w:r>
              <w:rPr>
                <w:rFonts w:ascii="Calibri" w:hAnsi="Calibri" w:cs="Calibri"/>
                <w:sz w:val="18"/>
                <w:szCs w:val="18"/>
              </w:rPr>
              <w:t>986</w:t>
            </w:r>
          </w:p>
        </w:tc>
      </w:tr>
      <w:tr w:rsidR="00A53D62" w:rsidRPr="007B1241" w:rsidTr="00A53D62">
        <w:trPr>
          <w:trHeight w:val="300"/>
          <w:jc w:val="center"/>
        </w:trPr>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proofErr w:type="spellStart"/>
            <w:r w:rsidRPr="0018525E">
              <w:rPr>
                <w:sz w:val="18"/>
                <w:szCs w:val="18"/>
              </w:rPr>
              <w:t>Cereáliák</w:t>
            </w:r>
            <w:proofErr w:type="spellEnd"/>
          </w:p>
        </w:tc>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9</w:t>
            </w:r>
          </w:p>
        </w:tc>
        <w:tc>
          <w:tcPr>
            <w:tcW w:w="0" w:type="auto"/>
            <w:tcBorders>
              <w:top w:val="nil"/>
              <w:left w:val="nil"/>
              <w:bottom w:val="nil"/>
              <w:right w:val="nil"/>
            </w:tcBorders>
            <w:shd w:val="clear" w:color="auto" w:fill="auto"/>
            <w:noWrap/>
            <w:vAlign w:val="bottom"/>
            <w:hideMark/>
          </w:tcPr>
          <w:p w:rsidR="00A53D62" w:rsidRPr="00746605" w:rsidRDefault="00A35D87" w:rsidP="00321196">
            <w:pPr>
              <w:jc w:val="right"/>
              <w:rPr>
                <w:rFonts w:ascii="Calibri" w:hAnsi="Calibri" w:cs="Calibri"/>
                <w:color w:val="000000"/>
                <w:sz w:val="18"/>
                <w:szCs w:val="18"/>
              </w:rPr>
            </w:pPr>
            <w:r>
              <w:rPr>
                <w:rFonts w:ascii="Calibri" w:hAnsi="Calibri" w:cs="Calibri"/>
                <w:color w:val="000000"/>
                <w:sz w:val="18"/>
                <w:szCs w:val="18"/>
              </w:rPr>
              <w:t>3 936</w:t>
            </w:r>
          </w:p>
        </w:tc>
      </w:tr>
      <w:tr w:rsidR="00A53D62" w:rsidRPr="007B1241" w:rsidTr="00A53D62">
        <w:trPr>
          <w:trHeight w:val="300"/>
          <w:jc w:val="center"/>
        </w:trPr>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Cukor, kakaó, méz</w:t>
            </w:r>
          </w:p>
        </w:tc>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1,2</w:t>
            </w:r>
          </w:p>
        </w:tc>
        <w:tc>
          <w:tcPr>
            <w:tcW w:w="0" w:type="auto"/>
            <w:tcBorders>
              <w:top w:val="nil"/>
              <w:left w:val="nil"/>
              <w:bottom w:val="nil"/>
              <w:right w:val="nil"/>
            </w:tcBorders>
            <w:shd w:val="clear" w:color="auto" w:fill="auto"/>
            <w:noWrap/>
            <w:vAlign w:val="bottom"/>
            <w:hideMark/>
          </w:tcPr>
          <w:p w:rsidR="00A53D62" w:rsidRPr="00746605" w:rsidRDefault="00A35D87" w:rsidP="00321196">
            <w:pPr>
              <w:jc w:val="right"/>
              <w:rPr>
                <w:rFonts w:ascii="Calibri" w:hAnsi="Calibri" w:cs="Calibri"/>
                <w:color w:val="000000"/>
                <w:sz w:val="18"/>
                <w:szCs w:val="18"/>
              </w:rPr>
            </w:pPr>
            <w:r>
              <w:rPr>
                <w:rFonts w:ascii="Calibri" w:hAnsi="Calibri" w:cs="Calibri"/>
                <w:color w:val="000000"/>
                <w:sz w:val="18"/>
                <w:szCs w:val="18"/>
              </w:rPr>
              <w:t>477</w:t>
            </w:r>
          </w:p>
        </w:tc>
      </w:tr>
      <w:tr w:rsidR="00A53D62" w:rsidRPr="007B1241" w:rsidTr="00A53D62">
        <w:trPr>
          <w:trHeight w:val="300"/>
          <w:jc w:val="center"/>
        </w:trPr>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Burgonya</w:t>
            </w:r>
          </w:p>
        </w:tc>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4</w:t>
            </w:r>
          </w:p>
        </w:tc>
        <w:tc>
          <w:tcPr>
            <w:tcW w:w="0" w:type="auto"/>
            <w:tcBorders>
              <w:top w:val="nil"/>
              <w:left w:val="nil"/>
              <w:bottom w:val="nil"/>
              <w:right w:val="nil"/>
            </w:tcBorders>
            <w:shd w:val="clear" w:color="auto" w:fill="auto"/>
            <w:noWrap/>
            <w:vAlign w:val="bottom"/>
            <w:hideMark/>
          </w:tcPr>
          <w:p w:rsidR="00A53D62" w:rsidRPr="00746605" w:rsidRDefault="00A35D87" w:rsidP="00321196">
            <w:pPr>
              <w:jc w:val="right"/>
              <w:rPr>
                <w:rFonts w:ascii="Calibri" w:hAnsi="Calibri" w:cs="Calibri"/>
                <w:color w:val="000000"/>
                <w:sz w:val="18"/>
                <w:szCs w:val="18"/>
              </w:rPr>
            </w:pPr>
            <w:r>
              <w:rPr>
                <w:rFonts w:ascii="Calibri" w:hAnsi="Calibri" w:cs="Calibri"/>
                <w:color w:val="000000"/>
                <w:sz w:val="18"/>
                <w:szCs w:val="18"/>
              </w:rPr>
              <w:t>1 252</w:t>
            </w:r>
          </w:p>
        </w:tc>
      </w:tr>
      <w:tr w:rsidR="00A53D62" w:rsidRPr="007B1241" w:rsidTr="00A53D62">
        <w:trPr>
          <w:trHeight w:val="300"/>
          <w:jc w:val="center"/>
        </w:trPr>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Friss és tartósított zöldség</w:t>
            </w:r>
          </w:p>
        </w:tc>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11,6</w:t>
            </w:r>
          </w:p>
        </w:tc>
        <w:tc>
          <w:tcPr>
            <w:tcW w:w="0" w:type="auto"/>
            <w:tcBorders>
              <w:top w:val="nil"/>
              <w:left w:val="nil"/>
              <w:bottom w:val="nil"/>
              <w:right w:val="nil"/>
            </w:tcBorders>
            <w:shd w:val="clear" w:color="auto" w:fill="auto"/>
            <w:noWrap/>
            <w:vAlign w:val="bottom"/>
            <w:hideMark/>
          </w:tcPr>
          <w:p w:rsidR="00A53D62" w:rsidRPr="00746605" w:rsidRDefault="00A35D87" w:rsidP="00321196">
            <w:pPr>
              <w:jc w:val="right"/>
              <w:rPr>
                <w:rFonts w:ascii="Calibri" w:hAnsi="Calibri" w:cs="Calibri"/>
                <w:color w:val="000000"/>
                <w:sz w:val="18"/>
                <w:szCs w:val="18"/>
              </w:rPr>
            </w:pPr>
            <w:r>
              <w:rPr>
                <w:rFonts w:ascii="Calibri" w:hAnsi="Calibri" w:cs="Calibri"/>
                <w:color w:val="000000"/>
                <w:sz w:val="18"/>
                <w:szCs w:val="18"/>
              </w:rPr>
              <w:t>6 822</w:t>
            </w:r>
          </w:p>
        </w:tc>
      </w:tr>
      <w:tr w:rsidR="00A53D62" w:rsidRPr="007B1241" w:rsidTr="00A53D62">
        <w:trPr>
          <w:trHeight w:val="300"/>
          <w:jc w:val="center"/>
        </w:trPr>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Friss és tartósított gyümölcs</w:t>
            </w:r>
          </w:p>
        </w:tc>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6,5</w:t>
            </w:r>
          </w:p>
        </w:tc>
        <w:tc>
          <w:tcPr>
            <w:tcW w:w="0" w:type="auto"/>
            <w:tcBorders>
              <w:top w:val="nil"/>
              <w:left w:val="nil"/>
              <w:bottom w:val="nil"/>
              <w:right w:val="nil"/>
            </w:tcBorders>
            <w:shd w:val="clear" w:color="auto" w:fill="auto"/>
            <w:noWrap/>
            <w:vAlign w:val="bottom"/>
            <w:hideMark/>
          </w:tcPr>
          <w:p w:rsidR="00A53D62" w:rsidRPr="00746605" w:rsidRDefault="00A35D87" w:rsidP="00321196">
            <w:pPr>
              <w:jc w:val="right"/>
              <w:rPr>
                <w:rFonts w:ascii="Calibri" w:hAnsi="Calibri" w:cs="Calibri"/>
                <w:color w:val="000000"/>
                <w:sz w:val="18"/>
                <w:szCs w:val="18"/>
              </w:rPr>
            </w:pPr>
            <w:r>
              <w:rPr>
                <w:rFonts w:ascii="Calibri" w:hAnsi="Calibri" w:cs="Calibri"/>
                <w:color w:val="000000"/>
                <w:sz w:val="18"/>
                <w:szCs w:val="18"/>
              </w:rPr>
              <w:t>2 884</w:t>
            </w:r>
          </w:p>
        </w:tc>
      </w:tr>
      <w:tr w:rsidR="00A53D62" w:rsidRPr="007B1241" w:rsidTr="00A53D62">
        <w:trPr>
          <w:trHeight w:val="132"/>
          <w:jc w:val="center"/>
        </w:trPr>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Szárazhüvelyes</w:t>
            </w:r>
          </w:p>
        </w:tc>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0,4</w:t>
            </w:r>
          </w:p>
        </w:tc>
        <w:tc>
          <w:tcPr>
            <w:tcW w:w="0" w:type="auto"/>
            <w:tcBorders>
              <w:top w:val="nil"/>
              <w:left w:val="nil"/>
              <w:bottom w:val="nil"/>
              <w:right w:val="nil"/>
            </w:tcBorders>
            <w:shd w:val="clear" w:color="auto" w:fill="auto"/>
            <w:noWrap/>
            <w:vAlign w:val="bottom"/>
            <w:hideMark/>
          </w:tcPr>
          <w:p w:rsidR="00A53D62" w:rsidRPr="00746605" w:rsidRDefault="00A35D87" w:rsidP="00321196">
            <w:pPr>
              <w:jc w:val="right"/>
              <w:rPr>
                <w:rFonts w:ascii="Calibri" w:hAnsi="Calibri" w:cs="Calibri"/>
                <w:color w:val="000000"/>
                <w:sz w:val="18"/>
                <w:szCs w:val="18"/>
              </w:rPr>
            </w:pPr>
            <w:r>
              <w:rPr>
                <w:rFonts w:ascii="Calibri" w:hAnsi="Calibri" w:cs="Calibri"/>
                <w:color w:val="000000"/>
                <w:sz w:val="18"/>
                <w:szCs w:val="18"/>
              </w:rPr>
              <w:t>266</w:t>
            </w:r>
          </w:p>
        </w:tc>
      </w:tr>
      <w:tr w:rsidR="00A53D62" w:rsidRPr="007B1241" w:rsidTr="00A53D62">
        <w:trPr>
          <w:trHeight w:val="300"/>
          <w:jc w:val="center"/>
        </w:trPr>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Fűszerek stb.</w:t>
            </w:r>
          </w:p>
        </w:tc>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w:t>
            </w:r>
          </w:p>
        </w:tc>
        <w:tc>
          <w:tcPr>
            <w:tcW w:w="0" w:type="auto"/>
            <w:tcBorders>
              <w:top w:val="nil"/>
              <w:left w:val="nil"/>
              <w:bottom w:val="nil"/>
              <w:right w:val="nil"/>
            </w:tcBorders>
            <w:shd w:val="clear" w:color="auto" w:fill="auto"/>
            <w:noWrap/>
            <w:vAlign w:val="bottom"/>
            <w:hideMark/>
          </w:tcPr>
          <w:p w:rsidR="00A53D62" w:rsidRPr="00746605" w:rsidRDefault="00A35D87" w:rsidP="00321196">
            <w:pPr>
              <w:jc w:val="right"/>
              <w:rPr>
                <w:rFonts w:ascii="Calibri" w:hAnsi="Calibri" w:cs="Calibri"/>
                <w:color w:val="000000"/>
                <w:sz w:val="18"/>
                <w:szCs w:val="18"/>
              </w:rPr>
            </w:pPr>
            <w:r>
              <w:rPr>
                <w:rFonts w:ascii="Calibri" w:hAnsi="Calibri" w:cs="Calibri"/>
                <w:color w:val="000000"/>
                <w:sz w:val="18"/>
                <w:szCs w:val="18"/>
              </w:rPr>
              <w:t>1236</w:t>
            </w:r>
          </w:p>
        </w:tc>
      </w:tr>
      <w:tr w:rsidR="00A53D62" w:rsidRPr="007B1241" w:rsidTr="00A53D62">
        <w:trPr>
          <w:trHeight w:val="300"/>
          <w:jc w:val="center"/>
        </w:trPr>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Kávé, tea, üdítők</w:t>
            </w:r>
          </w:p>
        </w:tc>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sz w:val="18"/>
                <w:szCs w:val="18"/>
              </w:rPr>
            </w:pPr>
            <w:r w:rsidRPr="0018525E">
              <w:rPr>
                <w:sz w:val="18"/>
                <w:szCs w:val="18"/>
              </w:rPr>
              <w:t>-</w:t>
            </w:r>
          </w:p>
        </w:tc>
        <w:tc>
          <w:tcPr>
            <w:tcW w:w="0" w:type="auto"/>
            <w:tcBorders>
              <w:top w:val="nil"/>
              <w:left w:val="nil"/>
              <w:bottom w:val="nil"/>
              <w:right w:val="nil"/>
            </w:tcBorders>
            <w:shd w:val="clear" w:color="auto" w:fill="auto"/>
            <w:noWrap/>
            <w:vAlign w:val="bottom"/>
            <w:hideMark/>
          </w:tcPr>
          <w:p w:rsidR="00A53D62" w:rsidRPr="00746605" w:rsidRDefault="00A35D87" w:rsidP="00321196">
            <w:pPr>
              <w:jc w:val="right"/>
              <w:rPr>
                <w:rFonts w:ascii="Calibri" w:hAnsi="Calibri" w:cs="Calibri"/>
                <w:color w:val="000000"/>
                <w:sz w:val="18"/>
                <w:szCs w:val="18"/>
              </w:rPr>
            </w:pPr>
            <w:r>
              <w:rPr>
                <w:rFonts w:ascii="Calibri" w:hAnsi="Calibri" w:cs="Calibri"/>
                <w:color w:val="000000"/>
                <w:sz w:val="18"/>
                <w:szCs w:val="18"/>
              </w:rPr>
              <w:t>842</w:t>
            </w:r>
          </w:p>
        </w:tc>
      </w:tr>
      <w:tr w:rsidR="00A53D62" w:rsidRPr="007B1241" w:rsidTr="00A53D62">
        <w:trPr>
          <w:trHeight w:val="300"/>
          <w:jc w:val="center"/>
        </w:trPr>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b/>
                <w:sz w:val="20"/>
                <w:szCs w:val="20"/>
              </w:rPr>
            </w:pPr>
            <w:r w:rsidRPr="0018525E">
              <w:rPr>
                <w:b/>
                <w:sz w:val="20"/>
                <w:szCs w:val="20"/>
              </w:rPr>
              <w:t>Mindösszesen</w:t>
            </w:r>
          </w:p>
        </w:tc>
        <w:tc>
          <w:tcPr>
            <w:tcW w:w="0" w:type="auto"/>
            <w:tcBorders>
              <w:top w:val="nil"/>
              <w:left w:val="nil"/>
              <w:bottom w:val="nil"/>
              <w:right w:val="nil"/>
            </w:tcBorders>
            <w:shd w:val="clear" w:color="auto" w:fill="auto"/>
            <w:noWrap/>
            <w:hideMark/>
          </w:tcPr>
          <w:p w:rsidR="00A53D62" w:rsidRPr="0018525E" w:rsidRDefault="00A53D62" w:rsidP="00321196">
            <w:pPr>
              <w:spacing w:line="240" w:lineRule="auto"/>
              <w:rPr>
                <w:b/>
                <w:sz w:val="20"/>
                <w:szCs w:val="20"/>
              </w:rPr>
            </w:pPr>
            <w:r w:rsidRPr="0018525E">
              <w:rPr>
                <w:b/>
                <w:sz w:val="20"/>
                <w:szCs w:val="20"/>
              </w:rPr>
              <w:t>-</w:t>
            </w:r>
          </w:p>
        </w:tc>
        <w:tc>
          <w:tcPr>
            <w:tcW w:w="0" w:type="auto"/>
            <w:tcBorders>
              <w:top w:val="nil"/>
              <w:left w:val="nil"/>
              <w:bottom w:val="nil"/>
              <w:right w:val="nil"/>
            </w:tcBorders>
            <w:shd w:val="clear" w:color="auto" w:fill="auto"/>
            <w:noWrap/>
            <w:vAlign w:val="bottom"/>
            <w:hideMark/>
          </w:tcPr>
          <w:p w:rsidR="00A53D62" w:rsidRPr="00746605" w:rsidRDefault="00A35D87" w:rsidP="00321196">
            <w:pPr>
              <w:jc w:val="right"/>
              <w:rPr>
                <w:rFonts w:ascii="Calibri" w:hAnsi="Calibri" w:cs="Calibri"/>
                <w:b/>
                <w:color w:val="000000"/>
                <w:sz w:val="18"/>
                <w:szCs w:val="18"/>
              </w:rPr>
            </w:pPr>
            <w:r>
              <w:rPr>
                <w:rFonts w:ascii="Calibri" w:hAnsi="Calibri" w:cs="Calibri"/>
                <w:b/>
                <w:color w:val="000000"/>
                <w:sz w:val="18"/>
                <w:szCs w:val="18"/>
              </w:rPr>
              <w:t>28 167</w:t>
            </w:r>
          </w:p>
        </w:tc>
      </w:tr>
    </w:tbl>
    <w:p w:rsidR="00A53D62" w:rsidRPr="007B1241" w:rsidRDefault="00A53D62" w:rsidP="00A53D62">
      <w:pPr>
        <w:spacing w:line="240" w:lineRule="auto"/>
        <w:jc w:val="both"/>
        <w:rPr>
          <w:rFonts w:cstheme="minorHAnsi"/>
          <w:lang w:eastAsia="hu-HU"/>
        </w:rPr>
      </w:pPr>
    </w:p>
    <w:p w:rsidR="00A53D62" w:rsidRPr="007B1241" w:rsidRDefault="00A53D62" w:rsidP="00570E12">
      <w:pPr>
        <w:spacing w:line="276" w:lineRule="auto"/>
        <w:jc w:val="both"/>
        <w:rPr>
          <w:rFonts w:cstheme="minorHAnsi"/>
          <w:lang w:eastAsia="hu-HU"/>
        </w:rPr>
      </w:pPr>
      <w:r w:rsidRPr="007B1241">
        <w:rPr>
          <w:rFonts w:cstheme="minorHAnsi"/>
          <w:lang w:eastAsia="hu-HU"/>
        </w:rPr>
        <w:t>A háztartások különböző korú tagjainak tápanyagszükséglete természetesen nem azonos. A felnőttekéhez képest - az OÉTI számításai szerint - a 14 éven aluliak élelmiszer-normatívája 77,8%, a 60 évnél idősebbeké pedig 88,2%. Ily módon az aktív korú felnőttek 201</w:t>
      </w:r>
      <w:r w:rsidR="00A35D87">
        <w:rPr>
          <w:rFonts w:cstheme="minorHAnsi"/>
          <w:lang w:eastAsia="hu-HU"/>
        </w:rPr>
        <w:t>9</w:t>
      </w:r>
      <w:r>
        <w:rPr>
          <w:rFonts w:cstheme="minorHAnsi"/>
          <w:lang w:eastAsia="hu-HU"/>
        </w:rPr>
        <w:t>.</w:t>
      </w:r>
      <w:r w:rsidRPr="007B1241">
        <w:rPr>
          <w:rFonts w:cstheme="minorHAnsi"/>
          <w:lang w:eastAsia="hu-HU"/>
        </w:rPr>
        <w:t xml:space="preserve"> évi 2</w:t>
      </w:r>
      <w:r w:rsidR="00A35D87">
        <w:rPr>
          <w:rFonts w:cstheme="minorHAnsi"/>
          <w:lang w:eastAsia="hu-HU"/>
        </w:rPr>
        <w:t xml:space="preserve">8 167 </w:t>
      </w:r>
      <w:r w:rsidRPr="007B1241">
        <w:rPr>
          <w:rFonts w:cstheme="minorHAnsi"/>
          <w:lang w:eastAsia="hu-HU"/>
        </w:rPr>
        <w:t xml:space="preserve">Ft-os havi élelmiszer-normatívája mellett ez az érték 14 éves korig </w:t>
      </w:r>
      <w:r w:rsidR="00A35D87">
        <w:rPr>
          <w:rFonts w:cstheme="minorHAnsi"/>
          <w:lang w:eastAsia="hu-HU"/>
        </w:rPr>
        <w:t>21 914</w:t>
      </w:r>
      <w:r w:rsidRPr="007B1241">
        <w:rPr>
          <w:rFonts w:cstheme="minorHAnsi"/>
          <w:lang w:eastAsia="hu-HU"/>
        </w:rPr>
        <w:t xml:space="preserve"> Ft, az időskorúaké 2</w:t>
      </w:r>
      <w:r w:rsidR="00A35D87">
        <w:rPr>
          <w:rFonts w:cstheme="minorHAnsi"/>
          <w:lang w:eastAsia="hu-HU"/>
        </w:rPr>
        <w:t>4</w:t>
      </w:r>
      <w:r w:rsidRPr="007B1241">
        <w:rPr>
          <w:rFonts w:cstheme="minorHAnsi"/>
          <w:lang w:eastAsia="hu-HU"/>
        </w:rPr>
        <w:t xml:space="preserve"> </w:t>
      </w:r>
      <w:r w:rsidR="00A35D87">
        <w:rPr>
          <w:rFonts w:cstheme="minorHAnsi"/>
          <w:lang w:eastAsia="hu-HU"/>
        </w:rPr>
        <w:t>843</w:t>
      </w:r>
      <w:r w:rsidRPr="007B1241">
        <w:rPr>
          <w:rFonts w:cstheme="minorHAnsi"/>
          <w:lang w:eastAsia="hu-HU"/>
        </w:rPr>
        <w:t xml:space="preserve"> Ft. Ezen értékek alapján határozhatók meg – a háztartásban élő személyek normatíváit összegezve – a különböző létszám- és korösszetételű háztartások élelmiszer-normatívájának értékei. Így pl. a két aktív korú felnőttből és két (0–14 éves) gyermekből álló háztartás élelmiszer-normatívája </w:t>
      </w:r>
      <w:r w:rsidR="00A35D87">
        <w:rPr>
          <w:rFonts w:cstheme="minorHAnsi"/>
          <w:lang w:eastAsia="hu-HU"/>
        </w:rPr>
        <w:t>100</w:t>
      </w:r>
      <w:r w:rsidRPr="007B1241">
        <w:rPr>
          <w:rFonts w:cstheme="minorHAnsi"/>
          <w:lang w:eastAsia="hu-HU"/>
        </w:rPr>
        <w:t xml:space="preserve"> </w:t>
      </w:r>
      <w:r w:rsidR="00A35D87">
        <w:rPr>
          <w:rFonts w:cstheme="minorHAnsi"/>
          <w:lang w:eastAsia="hu-HU"/>
        </w:rPr>
        <w:t>162</w:t>
      </w:r>
      <w:r w:rsidRPr="007B1241">
        <w:rPr>
          <w:rFonts w:cstheme="minorHAnsi"/>
          <w:lang w:eastAsia="hu-HU"/>
        </w:rPr>
        <w:t xml:space="preserve"> Ft/hó. </w:t>
      </w:r>
    </w:p>
    <w:p w:rsidR="00A53D62" w:rsidRDefault="00570E12" w:rsidP="00570E12">
      <w:pPr>
        <w:pStyle w:val="Cmsor1"/>
        <w:numPr>
          <w:ilvl w:val="0"/>
          <w:numId w:val="6"/>
        </w:numPr>
      </w:pPr>
      <w:r>
        <w:lastRenderedPageBreak/>
        <w:t>Létminimum előzetes adat számítása</w:t>
      </w:r>
    </w:p>
    <w:p w:rsidR="00A53D62" w:rsidRDefault="00A53D62" w:rsidP="00A53D62"/>
    <w:p w:rsidR="00A53D62" w:rsidRDefault="00A53D62" w:rsidP="00570E12">
      <w:pPr>
        <w:spacing w:line="276" w:lineRule="auto"/>
        <w:jc w:val="both"/>
        <w:rPr>
          <w:rFonts w:ascii="Calibri" w:eastAsia="Times New Roman" w:hAnsi="Calibri" w:cs="Calibri"/>
          <w:lang w:eastAsia="hu-HU"/>
        </w:rPr>
      </w:pPr>
      <w:r>
        <w:t>A létminimum-számításhoz szükség van</w:t>
      </w:r>
      <w:r w:rsidR="00570E12">
        <w:t xml:space="preserve"> többek között</w:t>
      </w:r>
      <w:r>
        <w:t xml:space="preserve"> a Központi Statisztikai Hivatal </w:t>
      </w:r>
      <w:r w:rsidRPr="00A53D62">
        <w:rPr>
          <w:rFonts w:ascii="Calibri" w:eastAsia="Times New Roman" w:hAnsi="Calibri" w:cs="Calibri"/>
          <w:lang w:eastAsia="hu-HU"/>
        </w:rPr>
        <w:t>Háztartási Költségvetési és Életkörülmény Adatfelvétel</w:t>
      </w:r>
      <w:r>
        <w:rPr>
          <w:rFonts w:ascii="Calibri" w:eastAsia="Times New Roman" w:hAnsi="Calibri" w:cs="Calibri"/>
          <w:lang w:eastAsia="hu-HU"/>
        </w:rPr>
        <w:t xml:space="preserve"> (HKÉF)</w:t>
      </w:r>
      <w:r w:rsidRPr="00A53D62">
        <w:rPr>
          <w:rFonts w:ascii="Calibri" w:eastAsia="Times New Roman" w:hAnsi="Calibri" w:cs="Calibri"/>
          <w:lang w:eastAsia="hu-HU"/>
        </w:rPr>
        <w:t xml:space="preserve"> naplóvezetéséből származó </w:t>
      </w:r>
      <w:r>
        <w:rPr>
          <w:rFonts w:ascii="Calibri" w:eastAsia="Times New Roman" w:hAnsi="Calibri" w:cs="Calibri"/>
          <w:lang w:eastAsia="hu-HU"/>
        </w:rPr>
        <w:t xml:space="preserve">adatállományára. A KSH belső döntése alapján az </w:t>
      </w:r>
      <w:r w:rsidRPr="00A53D62">
        <w:rPr>
          <w:rFonts w:ascii="Calibri" w:eastAsia="Times New Roman" w:hAnsi="Calibri" w:cs="Calibri"/>
          <w:lang w:eastAsia="hu-HU"/>
        </w:rPr>
        <w:t>évközi adatok feldolgozásának menetét megváltoztatt</w:t>
      </w:r>
      <w:r>
        <w:rPr>
          <w:rFonts w:ascii="Calibri" w:eastAsia="Times New Roman" w:hAnsi="Calibri" w:cs="Calibri"/>
          <w:lang w:eastAsia="hu-HU"/>
        </w:rPr>
        <w:t>ák, így kénytelenek voltunk többváltozós modell alapján becslés</w:t>
      </w:r>
      <w:r w:rsidR="00570E12">
        <w:rPr>
          <w:rFonts w:ascii="Calibri" w:eastAsia="Times New Roman" w:hAnsi="Calibri" w:cs="Calibri"/>
          <w:lang w:eastAsia="hu-HU"/>
        </w:rPr>
        <w:t>t</w:t>
      </w:r>
      <w:r>
        <w:rPr>
          <w:rFonts w:ascii="Calibri" w:eastAsia="Times New Roman" w:hAnsi="Calibri" w:cs="Calibri"/>
          <w:lang w:eastAsia="hu-HU"/>
        </w:rPr>
        <w:t xml:space="preserve"> végrehajtani. Ebben figyelembe vettük az </w:t>
      </w:r>
      <w:r w:rsidR="007713C3">
        <w:rPr>
          <w:rFonts w:ascii="Calibri" w:eastAsia="Times New Roman" w:hAnsi="Calibri" w:cs="Calibri"/>
          <w:lang w:eastAsia="hu-HU"/>
        </w:rPr>
        <w:t>inflációs</w:t>
      </w:r>
      <w:r>
        <w:rPr>
          <w:rFonts w:ascii="Calibri" w:eastAsia="Times New Roman" w:hAnsi="Calibri" w:cs="Calibri"/>
          <w:lang w:eastAsia="hu-HU"/>
        </w:rPr>
        <w:t xml:space="preserve"> (különösen az élelmiszerek árát érintő) adatokat, a </w:t>
      </w:r>
      <w:r w:rsidR="007713C3">
        <w:rPr>
          <w:rFonts w:ascii="Calibri" w:eastAsia="Times New Roman" w:hAnsi="Calibri" w:cs="Calibri"/>
          <w:lang w:eastAsia="hu-HU"/>
        </w:rPr>
        <w:t>bérelemelkedések</w:t>
      </w:r>
      <w:r>
        <w:rPr>
          <w:rFonts w:ascii="Calibri" w:eastAsia="Times New Roman" w:hAnsi="Calibri" w:cs="Calibri"/>
          <w:lang w:eastAsia="hu-HU"/>
        </w:rPr>
        <w:t xml:space="preserve">, a </w:t>
      </w:r>
      <w:r w:rsidR="007713C3">
        <w:rPr>
          <w:rFonts w:ascii="Calibri" w:eastAsia="Times New Roman" w:hAnsi="Calibri" w:cs="Calibri"/>
          <w:lang w:eastAsia="hu-HU"/>
        </w:rPr>
        <w:t>háztartások</w:t>
      </w:r>
      <w:r>
        <w:rPr>
          <w:rFonts w:ascii="Calibri" w:eastAsia="Times New Roman" w:hAnsi="Calibri" w:cs="Calibri"/>
          <w:lang w:eastAsia="hu-HU"/>
        </w:rPr>
        <w:t xml:space="preserve"> </w:t>
      </w:r>
      <w:r w:rsidR="007713C3">
        <w:rPr>
          <w:rFonts w:ascii="Calibri" w:eastAsia="Times New Roman" w:hAnsi="Calibri" w:cs="Calibri"/>
          <w:lang w:eastAsia="hu-HU"/>
        </w:rPr>
        <w:t>kiadásairól</w:t>
      </w:r>
      <w:r>
        <w:rPr>
          <w:rFonts w:ascii="Calibri" w:eastAsia="Times New Roman" w:hAnsi="Calibri" w:cs="Calibri"/>
          <w:lang w:eastAsia="hu-HU"/>
        </w:rPr>
        <w:t xml:space="preserve"> ismert adatokat, korábbi évek alapján készített trendeket.</w:t>
      </w:r>
    </w:p>
    <w:p w:rsidR="00570E12" w:rsidRDefault="00570E12" w:rsidP="00570E12">
      <w:pPr>
        <w:jc w:val="both"/>
        <w:rPr>
          <w:rFonts w:ascii="Calibri" w:eastAsia="Times New Roman" w:hAnsi="Calibri" w:cs="Calibri"/>
          <w:lang w:eastAsia="hu-HU"/>
        </w:rPr>
      </w:pPr>
    </w:p>
    <w:p w:rsidR="00570E12" w:rsidRPr="00570E12" w:rsidRDefault="00570E12" w:rsidP="00570E12">
      <w:pPr>
        <w:pStyle w:val="Listaszerbekezds"/>
        <w:numPr>
          <w:ilvl w:val="0"/>
          <w:numId w:val="1"/>
        </w:numPr>
        <w:rPr>
          <w:rFonts w:ascii="Calibri" w:eastAsia="Times New Roman" w:hAnsi="Calibri" w:cs="Calibri"/>
          <w:b/>
          <w:i/>
          <w:lang w:eastAsia="hu-HU"/>
        </w:rPr>
      </w:pPr>
      <w:r w:rsidRPr="00570E12">
        <w:rPr>
          <w:rFonts w:ascii="Calibri" w:eastAsia="Times New Roman" w:hAnsi="Calibri" w:cs="Calibri"/>
          <w:b/>
          <w:i/>
          <w:lang w:eastAsia="hu-HU"/>
        </w:rPr>
        <w:t>táblázat: Létminimum előzetes számításhoz szükséges háttéradatok változása (előző évhez képest</w:t>
      </w:r>
    </w:p>
    <w:tbl>
      <w:tblPr>
        <w:tblStyle w:val="Tblzatrcsos5stt5jellszn"/>
        <w:tblW w:w="9762" w:type="dxa"/>
        <w:tblLook w:val="04A0" w:firstRow="1" w:lastRow="0" w:firstColumn="1" w:lastColumn="0" w:noHBand="0" w:noVBand="1"/>
      </w:tblPr>
      <w:tblGrid>
        <w:gridCol w:w="1642"/>
        <w:gridCol w:w="1060"/>
        <w:gridCol w:w="1060"/>
        <w:gridCol w:w="1060"/>
        <w:gridCol w:w="1060"/>
        <w:gridCol w:w="1060"/>
        <w:gridCol w:w="1280"/>
        <w:gridCol w:w="1540"/>
      </w:tblGrid>
      <w:tr w:rsidR="00A35D87" w:rsidRPr="007713C3" w:rsidTr="00A35D8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42" w:type="dxa"/>
            <w:noWrap/>
            <w:hideMark/>
          </w:tcPr>
          <w:p w:rsidR="00A35D87" w:rsidRPr="007713C3" w:rsidRDefault="00A35D87" w:rsidP="00A35D87">
            <w:pPr>
              <w:rPr>
                <w:rFonts w:ascii="Times New Roman" w:eastAsia="Times New Roman" w:hAnsi="Times New Roman" w:cs="Times New Roman"/>
                <w:sz w:val="24"/>
                <w:szCs w:val="24"/>
                <w:lang w:eastAsia="hu-HU"/>
              </w:rPr>
            </w:pPr>
          </w:p>
        </w:tc>
        <w:tc>
          <w:tcPr>
            <w:tcW w:w="1060" w:type="dxa"/>
            <w:hideMark/>
          </w:tcPr>
          <w:p w:rsidR="00A35D87" w:rsidRPr="00E920C3" w:rsidRDefault="00A35D87" w:rsidP="00FE5A62">
            <w:pPr>
              <w:jc w:val="center"/>
              <w:cnfStyle w:val="100000000000" w:firstRow="1" w:lastRow="0" w:firstColumn="0" w:lastColumn="0" w:oddVBand="0" w:evenVBand="0" w:oddHBand="0" w:evenHBand="0" w:firstRowFirstColumn="0" w:firstRowLastColumn="0" w:lastRowFirstColumn="0" w:lastRowLastColumn="0"/>
            </w:pPr>
            <w:r w:rsidRPr="00E920C3">
              <w:t>2013</w:t>
            </w:r>
          </w:p>
        </w:tc>
        <w:tc>
          <w:tcPr>
            <w:tcW w:w="1060" w:type="dxa"/>
            <w:hideMark/>
          </w:tcPr>
          <w:p w:rsidR="00A35D87" w:rsidRPr="00E920C3" w:rsidRDefault="00A35D87" w:rsidP="00FE5A62">
            <w:pPr>
              <w:jc w:val="center"/>
              <w:cnfStyle w:val="100000000000" w:firstRow="1" w:lastRow="0" w:firstColumn="0" w:lastColumn="0" w:oddVBand="0" w:evenVBand="0" w:oddHBand="0" w:evenHBand="0" w:firstRowFirstColumn="0" w:firstRowLastColumn="0" w:lastRowFirstColumn="0" w:lastRowLastColumn="0"/>
            </w:pPr>
            <w:r w:rsidRPr="00E920C3">
              <w:t>2014</w:t>
            </w:r>
          </w:p>
        </w:tc>
        <w:tc>
          <w:tcPr>
            <w:tcW w:w="1060" w:type="dxa"/>
            <w:hideMark/>
          </w:tcPr>
          <w:p w:rsidR="00A35D87" w:rsidRPr="00E920C3" w:rsidRDefault="00A35D87" w:rsidP="00FE5A62">
            <w:pPr>
              <w:jc w:val="center"/>
              <w:cnfStyle w:val="100000000000" w:firstRow="1" w:lastRow="0" w:firstColumn="0" w:lastColumn="0" w:oddVBand="0" w:evenVBand="0" w:oddHBand="0" w:evenHBand="0" w:firstRowFirstColumn="0" w:firstRowLastColumn="0" w:lastRowFirstColumn="0" w:lastRowLastColumn="0"/>
            </w:pPr>
            <w:r w:rsidRPr="00E920C3">
              <w:t>2015</w:t>
            </w:r>
          </w:p>
        </w:tc>
        <w:tc>
          <w:tcPr>
            <w:tcW w:w="1060" w:type="dxa"/>
            <w:hideMark/>
          </w:tcPr>
          <w:p w:rsidR="00A35D87" w:rsidRPr="00E920C3" w:rsidRDefault="00A35D87" w:rsidP="00FE5A62">
            <w:pPr>
              <w:jc w:val="center"/>
              <w:cnfStyle w:val="100000000000" w:firstRow="1" w:lastRow="0" w:firstColumn="0" w:lastColumn="0" w:oddVBand="0" w:evenVBand="0" w:oddHBand="0" w:evenHBand="0" w:firstRowFirstColumn="0" w:firstRowLastColumn="0" w:lastRowFirstColumn="0" w:lastRowLastColumn="0"/>
            </w:pPr>
            <w:r w:rsidRPr="00E920C3">
              <w:t>2016</w:t>
            </w:r>
          </w:p>
        </w:tc>
        <w:tc>
          <w:tcPr>
            <w:tcW w:w="1060" w:type="dxa"/>
            <w:hideMark/>
          </w:tcPr>
          <w:p w:rsidR="00A35D87" w:rsidRPr="00E920C3" w:rsidRDefault="00A35D87" w:rsidP="00FE5A62">
            <w:pPr>
              <w:jc w:val="center"/>
              <w:cnfStyle w:val="100000000000" w:firstRow="1" w:lastRow="0" w:firstColumn="0" w:lastColumn="0" w:oddVBand="0" w:evenVBand="0" w:oddHBand="0" w:evenHBand="0" w:firstRowFirstColumn="0" w:firstRowLastColumn="0" w:lastRowFirstColumn="0" w:lastRowLastColumn="0"/>
            </w:pPr>
            <w:r w:rsidRPr="00E920C3">
              <w:t>2017</w:t>
            </w:r>
          </w:p>
        </w:tc>
        <w:tc>
          <w:tcPr>
            <w:tcW w:w="1280" w:type="dxa"/>
            <w:hideMark/>
          </w:tcPr>
          <w:p w:rsidR="00A35D87" w:rsidRPr="00E920C3" w:rsidRDefault="00A35D87" w:rsidP="00FE5A62">
            <w:pPr>
              <w:jc w:val="center"/>
              <w:cnfStyle w:val="100000000000" w:firstRow="1" w:lastRow="0" w:firstColumn="0" w:lastColumn="0" w:oddVBand="0" w:evenVBand="0" w:oddHBand="0" w:evenHBand="0" w:firstRowFirstColumn="0" w:firstRowLastColumn="0" w:lastRowFirstColumn="0" w:lastRowLastColumn="0"/>
            </w:pPr>
            <w:r w:rsidRPr="00E920C3">
              <w:t>2018</w:t>
            </w:r>
          </w:p>
        </w:tc>
        <w:tc>
          <w:tcPr>
            <w:tcW w:w="1540" w:type="dxa"/>
            <w:hideMark/>
          </w:tcPr>
          <w:p w:rsidR="00A35D87" w:rsidRPr="00E920C3" w:rsidRDefault="00A35D87" w:rsidP="00FE5A62">
            <w:pPr>
              <w:jc w:val="center"/>
              <w:cnfStyle w:val="100000000000" w:firstRow="1" w:lastRow="0" w:firstColumn="0" w:lastColumn="0" w:oddVBand="0" w:evenVBand="0" w:oddHBand="0" w:evenHBand="0" w:firstRowFirstColumn="0" w:firstRowLastColumn="0" w:lastRowFirstColumn="0" w:lastRowLastColumn="0"/>
            </w:pPr>
            <w:r w:rsidRPr="00E920C3">
              <w:t>2019</w:t>
            </w:r>
          </w:p>
        </w:tc>
      </w:tr>
      <w:tr w:rsidR="00A35D87" w:rsidRPr="007713C3" w:rsidTr="00A35D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2" w:type="dxa"/>
            <w:noWrap/>
            <w:hideMark/>
          </w:tcPr>
          <w:p w:rsidR="00A35D87" w:rsidRDefault="00A35D87" w:rsidP="00A35D87">
            <w:pPr>
              <w:rPr>
                <w:rFonts w:ascii="Calibri" w:eastAsia="Times New Roman" w:hAnsi="Calibri" w:cs="Calibri"/>
                <w:color w:val="000000"/>
                <w:lang w:eastAsia="hu-HU"/>
              </w:rPr>
            </w:pPr>
            <w:r w:rsidRPr="007713C3">
              <w:rPr>
                <w:rFonts w:ascii="Calibri" w:eastAsia="Times New Roman" w:hAnsi="Calibri" w:cs="Calibri"/>
                <w:color w:val="000000"/>
                <w:lang w:eastAsia="hu-HU"/>
              </w:rPr>
              <w:t>létminimum változása</w:t>
            </w:r>
          </w:p>
          <w:p w:rsidR="00A35D87" w:rsidRPr="007713C3" w:rsidRDefault="00A35D87" w:rsidP="00A35D87">
            <w:pPr>
              <w:rPr>
                <w:rFonts w:ascii="Calibri" w:eastAsia="Times New Roman" w:hAnsi="Calibri" w:cs="Calibri"/>
                <w:color w:val="000000"/>
                <w:lang w:eastAsia="hu-HU"/>
              </w:rPr>
            </w:pPr>
          </w:p>
        </w:tc>
        <w:tc>
          <w:tcPr>
            <w:tcW w:w="1060" w:type="dxa"/>
            <w:hideMark/>
          </w:tcPr>
          <w:p w:rsidR="00A35D87" w:rsidRPr="00E920C3" w:rsidRDefault="00A35D87" w:rsidP="00FE5A62">
            <w:pPr>
              <w:jc w:val="center"/>
              <w:cnfStyle w:val="000000100000" w:firstRow="0" w:lastRow="0" w:firstColumn="0" w:lastColumn="0" w:oddVBand="0" w:evenVBand="0" w:oddHBand="1" w:evenHBand="0" w:firstRowFirstColumn="0" w:firstRowLastColumn="0" w:lastRowFirstColumn="0" w:lastRowLastColumn="0"/>
            </w:pPr>
            <w:r w:rsidRPr="00E920C3">
              <w:t>101,8%</w:t>
            </w:r>
          </w:p>
        </w:tc>
        <w:tc>
          <w:tcPr>
            <w:tcW w:w="1060" w:type="dxa"/>
            <w:hideMark/>
          </w:tcPr>
          <w:p w:rsidR="00A35D87" w:rsidRPr="00E920C3" w:rsidRDefault="00A35D87" w:rsidP="00FE5A62">
            <w:pPr>
              <w:jc w:val="center"/>
              <w:cnfStyle w:val="000000100000" w:firstRow="0" w:lastRow="0" w:firstColumn="0" w:lastColumn="0" w:oddVBand="0" w:evenVBand="0" w:oddHBand="1" w:evenHBand="0" w:firstRowFirstColumn="0" w:firstRowLastColumn="0" w:lastRowFirstColumn="0" w:lastRowLastColumn="0"/>
            </w:pPr>
            <w:r w:rsidRPr="00E920C3">
              <w:t>99,8%</w:t>
            </w:r>
          </w:p>
        </w:tc>
        <w:tc>
          <w:tcPr>
            <w:tcW w:w="1060" w:type="dxa"/>
            <w:hideMark/>
          </w:tcPr>
          <w:p w:rsidR="00A35D87" w:rsidRPr="00E920C3" w:rsidRDefault="00A35D87" w:rsidP="00FE5A62">
            <w:pPr>
              <w:jc w:val="center"/>
              <w:cnfStyle w:val="000000100000" w:firstRow="0" w:lastRow="0" w:firstColumn="0" w:lastColumn="0" w:oddVBand="0" w:evenVBand="0" w:oddHBand="1" w:evenHBand="0" w:firstRowFirstColumn="0" w:firstRowLastColumn="0" w:lastRowFirstColumn="0" w:lastRowLastColumn="0"/>
            </w:pPr>
            <w:r w:rsidRPr="00E920C3">
              <w:t>100,8%</w:t>
            </w:r>
          </w:p>
        </w:tc>
        <w:tc>
          <w:tcPr>
            <w:tcW w:w="1060" w:type="dxa"/>
            <w:hideMark/>
          </w:tcPr>
          <w:p w:rsidR="00A35D87" w:rsidRPr="00E920C3" w:rsidRDefault="00A35D87" w:rsidP="00FE5A62">
            <w:pPr>
              <w:jc w:val="center"/>
              <w:cnfStyle w:val="000000100000" w:firstRow="0" w:lastRow="0" w:firstColumn="0" w:lastColumn="0" w:oddVBand="0" w:evenVBand="0" w:oddHBand="1" w:evenHBand="0" w:firstRowFirstColumn="0" w:firstRowLastColumn="0" w:lastRowFirstColumn="0" w:lastRowLastColumn="0"/>
            </w:pPr>
            <w:r w:rsidRPr="00E920C3">
              <w:t>100,7%</w:t>
            </w:r>
          </w:p>
        </w:tc>
        <w:tc>
          <w:tcPr>
            <w:tcW w:w="1060" w:type="dxa"/>
            <w:hideMark/>
          </w:tcPr>
          <w:p w:rsidR="00A35D87" w:rsidRPr="00E920C3" w:rsidRDefault="00A35D87" w:rsidP="00FE5A62">
            <w:pPr>
              <w:jc w:val="center"/>
              <w:cnfStyle w:val="000000100000" w:firstRow="0" w:lastRow="0" w:firstColumn="0" w:lastColumn="0" w:oddVBand="0" w:evenVBand="0" w:oddHBand="1" w:evenHBand="0" w:firstRowFirstColumn="0" w:firstRowLastColumn="0" w:lastRowFirstColumn="0" w:lastRowLastColumn="0"/>
            </w:pPr>
            <w:r w:rsidRPr="00E920C3">
              <w:t>102,1%</w:t>
            </w:r>
          </w:p>
        </w:tc>
        <w:tc>
          <w:tcPr>
            <w:tcW w:w="1280" w:type="dxa"/>
            <w:hideMark/>
          </w:tcPr>
          <w:p w:rsidR="00A35D87" w:rsidRPr="00E920C3" w:rsidRDefault="00A35D87" w:rsidP="00FE5A62">
            <w:pPr>
              <w:jc w:val="center"/>
              <w:cnfStyle w:val="000000100000" w:firstRow="0" w:lastRow="0" w:firstColumn="0" w:lastColumn="0" w:oddVBand="0" w:evenVBand="0" w:oddHBand="1" w:evenHBand="0" w:firstRowFirstColumn="0" w:firstRowLastColumn="0" w:lastRowFirstColumn="0" w:lastRowLastColumn="0"/>
            </w:pPr>
            <w:r w:rsidRPr="00E920C3">
              <w:t>104,8%</w:t>
            </w:r>
          </w:p>
        </w:tc>
        <w:tc>
          <w:tcPr>
            <w:tcW w:w="1540" w:type="dxa"/>
            <w:hideMark/>
          </w:tcPr>
          <w:p w:rsidR="00A35D87" w:rsidRPr="00E920C3" w:rsidRDefault="00FE5A62" w:rsidP="00FE5A62">
            <w:pPr>
              <w:jc w:val="center"/>
              <w:cnfStyle w:val="000000100000" w:firstRow="0" w:lastRow="0" w:firstColumn="0" w:lastColumn="0" w:oddVBand="0" w:evenVBand="0" w:oddHBand="1" w:evenHBand="0" w:firstRowFirstColumn="0" w:firstRowLastColumn="0" w:lastRowFirstColumn="0" w:lastRowLastColumn="0"/>
            </w:pPr>
            <w:r>
              <w:t>-</w:t>
            </w:r>
          </w:p>
        </w:tc>
      </w:tr>
      <w:tr w:rsidR="00A35D87" w:rsidRPr="007713C3" w:rsidTr="00A35D87">
        <w:trPr>
          <w:trHeight w:val="300"/>
        </w:trPr>
        <w:tc>
          <w:tcPr>
            <w:cnfStyle w:val="001000000000" w:firstRow="0" w:lastRow="0" w:firstColumn="1" w:lastColumn="0" w:oddVBand="0" w:evenVBand="0" w:oddHBand="0" w:evenHBand="0" w:firstRowFirstColumn="0" w:firstRowLastColumn="0" w:lastRowFirstColumn="0" w:lastRowLastColumn="0"/>
            <w:tcW w:w="1642" w:type="dxa"/>
            <w:noWrap/>
            <w:hideMark/>
          </w:tcPr>
          <w:p w:rsidR="00A35D87" w:rsidRDefault="00A35D87" w:rsidP="00A35D87">
            <w:pPr>
              <w:rPr>
                <w:rFonts w:ascii="Calibri" w:eastAsia="Times New Roman" w:hAnsi="Calibri" w:cs="Calibri"/>
                <w:color w:val="000000"/>
                <w:lang w:eastAsia="hu-HU"/>
              </w:rPr>
            </w:pPr>
            <w:r w:rsidRPr="007713C3">
              <w:rPr>
                <w:rFonts w:ascii="Calibri" w:eastAsia="Times New Roman" w:hAnsi="Calibri" w:cs="Calibri"/>
                <w:color w:val="000000"/>
                <w:lang w:eastAsia="hu-HU"/>
              </w:rPr>
              <w:t>béremelkedés</w:t>
            </w:r>
          </w:p>
          <w:p w:rsidR="00A35D87" w:rsidRPr="007713C3" w:rsidRDefault="00A35D87" w:rsidP="00A35D87">
            <w:pPr>
              <w:rPr>
                <w:rFonts w:ascii="Calibri" w:eastAsia="Times New Roman" w:hAnsi="Calibri" w:cs="Calibri"/>
                <w:color w:val="000000"/>
                <w:lang w:eastAsia="hu-HU"/>
              </w:rPr>
            </w:pPr>
          </w:p>
        </w:tc>
        <w:tc>
          <w:tcPr>
            <w:tcW w:w="1060" w:type="dxa"/>
            <w:noWrap/>
            <w:hideMark/>
          </w:tcPr>
          <w:p w:rsidR="00A35D87" w:rsidRPr="00E920C3" w:rsidRDefault="00A35D87" w:rsidP="00FE5A62">
            <w:pPr>
              <w:jc w:val="center"/>
              <w:cnfStyle w:val="000000000000" w:firstRow="0" w:lastRow="0" w:firstColumn="0" w:lastColumn="0" w:oddVBand="0" w:evenVBand="0" w:oddHBand="0" w:evenHBand="0" w:firstRowFirstColumn="0" w:firstRowLastColumn="0" w:lastRowFirstColumn="0" w:lastRowLastColumn="0"/>
            </w:pPr>
            <w:r w:rsidRPr="00E920C3">
              <w:t>103,40%</w:t>
            </w:r>
          </w:p>
        </w:tc>
        <w:tc>
          <w:tcPr>
            <w:tcW w:w="1060" w:type="dxa"/>
            <w:noWrap/>
            <w:hideMark/>
          </w:tcPr>
          <w:p w:rsidR="00A35D87" w:rsidRPr="00E920C3" w:rsidRDefault="00A35D87" w:rsidP="00FE5A62">
            <w:pPr>
              <w:jc w:val="center"/>
              <w:cnfStyle w:val="000000000000" w:firstRow="0" w:lastRow="0" w:firstColumn="0" w:lastColumn="0" w:oddVBand="0" w:evenVBand="0" w:oddHBand="0" w:evenHBand="0" w:firstRowFirstColumn="0" w:firstRowLastColumn="0" w:lastRowFirstColumn="0" w:lastRowLastColumn="0"/>
            </w:pPr>
            <w:r w:rsidRPr="00E920C3">
              <w:t>103%</w:t>
            </w:r>
          </w:p>
        </w:tc>
        <w:tc>
          <w:tcPr>
            <w:tcW w:w="1060" w:type="dxa"/>
            <w:noWrap/>
            <w:hideMark/>
          </w:tcPr>
          <w:p w:rsidR="00A35D87" w:rsidRPr="00E920C3" w:rsidRDefault="00A35D87" w:rsidP="00FE5A62">
            <w:pPr>
              <w:jc w:val="center"/>
              <w:cnfStyle w:val="000000000000" w:firstRow="0" w:lastRow="0" w:firstColumn="0" w:lastColumn="0" w:oddVBand="0" w:evenVBand="0" w:oddHBand="0" w:evenHBand="0" w:firstRowFirstColumn="0" w:firstRowLastColumn="0" w:lastRowFirstColumn="0" w:lastRowLastColumn="0"/>
            </w:pPr>
            <w:r w:rsidRPr="00E920C3">
              <w:t>104,30%</w:t>
            </w:r>
          </w:p>
        </w:tc>
        <w:tc>
          <w:tcPr>
            <w:tcW w:w="1060" w:type="dxa"/>
            <w:noWrap/>
            <w:hideMark/>
          </w:tcPr>
          <w:p w:rsidR="00A35D87" w:rsidRPr="00E920C3" w:rsidRDefault="00A35D87" w:rsidP="00FE5A62">
            <w:pPr>
              <w:jc w:val="center"/>
              <w:cnfStyle w:val="000000000000" w:firstRow="0" w:lastRow="0" w:firstColumn="0" w:lastColumn="0" w:oddVBand="0" w:evenVBand="0" w:oddHBand="0" w:evenHBand="0" w:firstRowFirstColumn="0" w:firstRowLastColumn="0" w:lastRowFirstColumn="0" w:lastRowLastColumn="0"/>
            </w:pPr>
            <w:r w:rsidRPr="00E920C3">
              <w:t>106,10%</w:t>
            </w:r>
          </w:p>
        </w:tc>
        <w:tc>
          <w:tcPr>
            <w:tcW w:w="1060" w:type="dxa"/>
            <w:noWrap/>
            <w:hideMark/>
          </w:tcPr>
          <w:p w:rsidR="00A35D87" w:rsidRPr="00E920C3" w:rsidRDefault="00A35D87" w:rsidP="00FE5A62">
            <w:pPr>
              <w:jc w:val="center"/>
              <w:cnfStyle w:val="000000000000" w:firstRow="0" w:lastRow="0" w:firstColumn="0" w:lastColumn="0" w:oddVBand="0" w:evenVBand="0" w:oddHBand="0" w:evenHBand="0" w:firstRowFirstColumn="0" w:firstRowLastColumn="0" w:lastRowFirstColumn="0" w:lastRowLastColumn="0"/>
            </w:pPr>
            <w:r w:rsidRPr="00E920C3">
              <w:t>112,90%</w:t>
            </w:r>
          </w:p>
        </w:tc>
        <w:tc>
          <w:tcPr>
            <w:tcW w:w="1280" w:type="dxa"/>
            <w:noWrap/>
            <w:hideMark/>
          </w:tcPr>
          <w:p w:rsidR="00A35D87" w:rsidRPr="00E920C3" w:rsidRDefault="00A35D87" w:rsidP="00FE5A62">
            <w:pPr>
              <w:jc w:val="center"/>
              <w:cnfStyle w:val="000000000000" w:firstRow="0" w:lastRow="0" w:firstColumn="0" w:lastColumn="0" w:oddVBand="0" w:evenVBand="0" w:oddHBand="0" w:evenHBand="0" w:firstRowFirstColumn="0" w:firstRowLastColumn="0" w:lastRowFirstColumn="0" w:lastRowLastColumn="0"/>
            </w:pPr>
            <w:r w:rsidRPr="00E920C3">
              <w:t>111,30%</w:t>
            </w:r>
          </w:p>
        </w:tc>
        <w:tc>
          <w:tcPr>
            <w:tcW w:w="1540" w:type="dxa"/>
            <w:noWrap/>
            <w:hideMark/>
          </w:tcPr>
          <w:p w:rsidR="00A35D87" w:rsidRPr="00E920C3" w:rsidRDefault="00A35D87" w:rsidP="00FE5A62">
            <w:pPr>
              <w:jc w:val="center"/>
              <w:cnfStyle w:val="000000000000" w:firstRow="0" w:lastRow="0" w:firstColumn="0" w:lastColumn="0" w:oddVBand="0" w:evenVBand="0" w:oddHBand="0" w:evenHBand="0" w:firstRowFirstColumn="0" w:firstRowLastColumn="0" w:lastRowFirstColumn="0" w:lastRowLastColumn="0"/>
            </w:pPr>
            <w:r w:rsidRPr="00E920C3">
              <w:t>111,40%</w:t>
            </w:r>
          </w:p>
        </w:tc>
      </w:tr>
      <w:tr w:rsidR="00A35D87" w:rsidRPr="007713C3" w:rsidTr="00A35D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2" w:type="dxa"/>
            <w:noWrap/>
            <w:hideMark/>
          </w:tcPr>
          <w:p w:rsidR="00A35D87" w:rsidRDefault="00A35D87" w:rsidP="00A35D87">
            <w:pPr>
              <w:rPr>
                <w:rFonts w:ascii="Calibri" w:eastAsia="Times New Roman" w:hAnsi="Calibri" w:cs="Calibri"/>
                <w:color w:val="000000"/>
                <w:lang w:eastAsia="hu-HU"/>
              </w:rPr>
            </w:pPr>
            <w:r w:rsidRPr="007713C3">
              <w:rPr>
                <w:rFonts w:ascii="Calibri" w:eastAsia="Times New Roman" w:hAnsi="Calibri" w:cs="Calibri"/>
                <w:color w:val="000000"/>
                <w:lang w:eastAsia="hu-HU"/>
              </w:rPr>
              <w:t>nettó minimálbér változása</w:t>
            </w:r>
          </w:p>
          <w:p w:rsidR="00A35D87" w:rsidRPr="007713C3" w:rsidRDefault="00A35D87" w:rsidP="00A35D87">
            <w:pPr>
              <w:rPr>
                <w:rFonts w:ascii="Calibri" w:eastAsia="Times New Roman" w:hAnsi="Calibri" w:cs="Calibri"/>
                <w:color w:val="000000"/>
                <w:lang w:eastAsia="hu-HU"/>
              </w:rPr>
            </w:pPr>
          </w:p>
        </w:tc>
        <w:tc>
          <w:tcPr>
            <w:tcW w:w="1060" w:type="dxa"/>
            <w:noWrap/>
            <w:hideMark/>
          </w:tcPr>
          <w:p w:rsidR="00A35D87" w:rsidRPr="00E920C3" w:rsidRDefault="00A35D87" w:rsidP="00FE5A62">
            <w:pPr>
              <w:jc w:val="center"/>
              <w:cnfStyle w:val="000000100000" w:firstRow="0" w:lastRow="0" w:firstColumn="0" w:lastColumn="0" w:oddVBand="0" w:evenVBand="0" w:oddHBand="1" w:evenHBand="0" w:firstRowFirstColumn="0" w:firstRowLastColumn="0" w:lastRowFirstColumn="0" w:lastRowLastColumn="0"/>
            </w:pPr>
            <w:r w:rsidRPr="00E920C3">
              <w:t>105,4%</w:t>
            </w:r>
          </w:p>
        </w:tc>
        <w:tc>
          <w:tcPr>
            <w:tcW w:w="1060" w:type="dxa"/>
            <w:noWrap/>
            <w:hideMark/>
          </w:tcPr>
          <w:p w:rsidR="00A35D87" w:rsidRPr="00E920C3" w:rsidRDefault="00A35D87" w:rsidP="00FE5A62">
            <w:pPr>
              <w:jc w:val="center"/>
              <w:cnfStyle w:val="000000100000" w:firstRow="0" w:lastRow="0" w:firstColumn="0" w:lastColumn="0" w:oddVBand="0" w:evenVBand="0" w:oddHBand="1" w:evenHBand="0" w:firstRowFirstColumn="0" w:firstRowLastColumn="0" w:lastRowFirstColumn="0" w:lastRowLastColumn="0"/>
            </w:pPr>
            <w:r w:rsidRPr="00E920C3">
              <w:t>103,6%</w:t>
            </w:r>
          </w:p>
        </w:tc>
        <w:tc>
          <w:tcPr>
            <w:tcW w:w="1060" w:type="dxa"/>
            <w:noWrap/>
            <w:hideMark/>
          </w:tcPr>
          <w:p w:rsidR="00A35D87" w:rsidRPr="00E920C3" w:rsidRDefault="00A35D87" w:rsidP="00FE5A62">
            <w:pPr>
              <w:jc w:val="center"/>
              <w:cnfStyle w:val="000000100000" w:firstRow="0" w:lastRow="0" w:firstColumn="0" w:lastColumn="0" w:oddVBand="0" w:evenVBand="0" w:oddHBand="1" w:evenHBand="0" w:firstRowFirstColumn="0" w:firstRowLastColumn="0" w:lastRowFirstColumn="0" w:lastRowLastColumn="0"/>
            </w:pPr>
            <w:r w:rsidRPr="00E920C3">
              <w:t>103,4%</w:t>
            </w:r>
          </w:p>
        </w:tc>
        <w:tc>
          <w:tcPr>
            <w:tcW w:w="1060" w:type="dxa"/>
            <w:noWrap/>
            <w:hideMark/>
          </w:tcPr>
          <w:p w:rsidR="00A35D87" w:rsidRPr="00E920C3" w:rsidRDefault="00A35D87" w:rsidP="00FE5A62">
            <w:pPr>
              <w:jc w:val="center"/>
              <w:cnfStyle w:val="000000100000" w:firstRow="0" w:lastRow="0" w:firstColumn="0" w:lastColumn="0" w:oddVBand="0" w:evenVBand="0" w:oddHBand="1" w:evenHBand="0" w:firstRowFirstColumn="0" w:firstRowLastColumn="0" w:lastRowFirstColumn="0" w:lastRowLastColumn="0"/>
            </w:pPr>
            <w:r w:rsidRPr="00E920C3">
              <w:t>107,3%</w:t>
            </w:r>
          </w:p>
        </w:tc>
        <w:tc>
          <w:tcPr>
            <w:tcW w:w="1060" w:type="dxa"/>
            <w:noWrap/>
            <w:hideMark/>
          </w:tcPr>
          <w:p w:rsidR="00A35D87" w:rsidRPr="00E920C3" w:rsidRDefault="00A35D87" w:rsidP="00FE5A62">
            <w:pPr>
              <w:jc w:val="center"/>
              <w:cnfStyle w:val="000000100000" w:firstRow="0" w:lastRow="0" w:firstColumn="0" w:lastColumn="0" w:oddVBand="0" w:evenVBand="0" w:oddHBand="1" w:evenHBand="0" w:firstRowFirstColumn="0" w:firstRowLastColumn="0" w:lastRowFirstColumn="0" w:lastRowLastColumn="0"/>
            </w:pPr>
            <w:r w:rsidRPr="00E920C3">
              <w:t>114,9%</w:t>
            </w:r>
          </w:p>
        </w:tc>
        <w:tc>
          <w:tcPr>
            <w:tcW w:w="1280" w:type="dxa"/>
            <w:noWrap/>
            <w:hideMark/>
          </w:tcPr>
          <w:p w:rsidR="00A35D87" w:rsidRPr="00E920C3" w:rsidRDefault="00A35D87" w:rsidP="00FE5A62">
            <w:pPr>
              <w:jc w:val="center"/>
              <w:cnfStyle w:val="000000100000" w:firstRow="0" w:lastRow="0" w:firstColumn="0" w:lastColumn="0" w:oddVBand="0" w:evenVBand="0" w:oddHBand="1" w:evenHBand="0" w:firstRowFirstColumn="0" w:firstRowLastColumn="0" w:lastRowFirstColumn="0" w:lastRowLastColumn="0"/>
            </w:pPr>
            <w:r w:rsidRPr="00E920C3">
              <w:t>108,2%</w:t>
            </w:r>
          </w:p>
        </w:tc>
        <w:tc>
          <w:tcPr>
            <w:tcW w:w="1540" w:type="dxa"/>
            <w:noWrap/>
            <w:hideMark/>
          </w:tcPr>
          <w:p w:rsidR="00A35D87" w:rsidRPr="00E920C3" w:rsidRDefault="00A35D87" w:rsidP="00FE5A62">
            <w:pPr>
              <w:jc w:val="center"/>
              <w:cnfStyle w:val="000000100000" w:firstRow="0" w:lastRow="0" w:firstColumn="0" w:lastColumn="0" w:oddVBand="0" w:evenVBand="0" w:oddHBand="1" w:evenHBand="0" w:firstRowFirstColumn="0" w:firstRowLastColumn="0" w:lastRowFirstColumn="0" w:lastRowLastColumn="0"/>
            </w:pPr>
            <w:r w:rsidRPr="00E920C3">
              <w:t>108%</w:t>
            </w:r>
          </w:p>
        </w:tc>
      </w:tr>
      <w:tr w:rsidR="00A35D87" w:rsidRPr="007713C3" w:rsidTr="00A35D87">
        <w:trPr>
          <w:trHeight w:val="300"/>
        </w:trPr>
        <w:tc>
          <w:tcPr>
            <w:cnfStyle w:val="001000000000" w:firstRow="0" w:lastRow="0" w:firstColumn="1" w:lastColumn="0" w:oddVBand="0" w:evenVBand="0" w:oddHBand="0" w:evenHBand="0" w:firstRowFirstColumn="0" w:firstRowLastColumn="0" w:lastRowFirstColumn="0" w:lastRowLastColumn="0"/>
            <w:tcW w:w="1642" w:type="dxa"/>
            <w:noWrap/>
            <w:hideMark/>
          </w:tcPr>
          <w:p w:rsidR="00A35D87" w:rsidRDefault="00A35D87" w:rsidP="00A35D87">
            <w:pPr>
              <w:rPr>
                <w:rFonts w:ascii="Calibri" w:eastAsia="Times New Roman" w:hAnsi="Calibri" w:cs="Calibri"/>
                <w:color w:val="000000"/>
                <w:lang w:eastAsia="hu-HU"/>
              </w:rPr>
            </w:pPr>
            <w:r w:rsidRPr="007713C3">
              <w:rPr>
                <w:rFonts w:ascii="Calibri" w:eastAsia="Times New Roman" w:hAnsi="Calibri" w:cs="Calibri"/>
                <w:color w:val="000000"/>
                <w:lang w:eastAsia="hu-HU"/>
              </w:rPr>
              <w:t>infláció</w:t>
            </w:r>
          </w:p>
          <w:p w:rsidR="00A35D87" w:rsidRPr="007713C3" w:rsidRDefault="00A35D87" w:rsidP="00A35D87">
            <w:pPr>
              <w:rPr>
                <w:rFonts w:ascii="Calibri" w:eastAsia="Times New Roman" w:hAnsi="Calibri" w:cs="Calibri"/>
                <w:color w:val="000000"/>
                <w:lang w:eastAsia="hu-HU"/>
              </w:rPr>
            </w:pPr>
          </w:p>
        </w:tc>
        <w:tc>
          <w:tcPr>
            <w:tcW w:w="1060" w:type="dxa"/>
            <w:noWrap/>
            <w:hideMark/>
          </w:tcPr>
          <w:p w:rsidR="00A35D87" w:rsidRPr="00E920C3" w:rsidRDefault="00A35D87" w:rsidP="00FE5A62">
            <w:pPr>
              <w:jc w:val="center"/>
              <w:cnfStyle w:val="000000000000" w:firstRow="0" w:lastRow="0" w:firstColumn="0" w:lastColumn="0" w:oddVBand="0" w:evenVBand="0" w:oddHBand="0" w:evenHBand="0" w:firstRowFirstColumn="0" w:firstRowLastColumn="0" w:lastRowFirstColumn="0" w:lastRowLastColumn="0"/>
            </w:pPr>
            <w:r w:rsidRPr="00E920C3">
              <w:t>101,70%</w:t>
            </w:r>
          </w:p>
        </w:tc>
        <w:tc>
          <w:tcPr>
            <w:tcW w:w="1060" w:type="dxa"/>
            <w:noWrap/>
            <w:hideMark/>
          </w:tcPr>
          <w:p w:rsidR="00A35D87" w:rsidRPr="00E920C3" w:rsidRDefault="00A35D87" w:rsidP="00FE5A62">
            <w:pPr>
              <w:jc w:val="center"/>
              <w:cnfStyle w:val="000000000000" w:firstRow="0" w:lastRow="0" w:firstColumn="0" w:lastColumn="0" w:oddVBand="0" w:evenVBand="0" w:oddHBand="0" w:evenHBand="0" w:firstRowFirstColumn="0" w:firstRowLastColumn="0" w:lastRowFirstColumn="0" w:lastRowLastColumn="0"/>
            </w:pPr>
            <w:r w:rsidRPr="00E920C3">
              <w:t>99,80%</w:t>
            </w:r>
          </w:p>
        </w:tc>
        <w:tc>
          <w:tcPr>
            <w:tcW w:w="1060" w:type="dxa"/>
            <w:noWrap/>
            <w:hideMark/>
          </w:tcPr>
          <w:p w:rsidR="00A35D87" w:rsidRPr="00E920C3" w:rsidRDefault="00A35D87" w:rsidP="00FE5A62">
            <w:pPr>
              <w:jc w:val="center"/>
              <w:cnfStyle w:val="000000000000" w:firstRow="0" w:lastRow="0" w:firstColumn="0" w:lastColumn="0" w:oddVBand="0" w:evenVBand="0" w:oddHBand="0" w:evenHBand="0" w:firstRowFirstColumn="0" w:firstRowLastColumn="0" w:lastRowFirstColumn="0" w:lastRowLastColumn="0"/>
            </w:pPr>
            <w:r w:rsidRPr="00E920C3">
              <w:t>99,90%</w:t>
            </w:r>
          </w:p>
        </w:tc>
        <w:tc>
          <w:tcPr>
            <w:tcW w:w="1060" w:type="dxa"/>
            <w:noWrap/>
            <w:hideMark/>
          </w:tcPr>
          <w:p w:rsidR="00A35D87" w:rsidRPr="00E920C3" w:rsidRDefault="00A35D87" w:rsidP="00FE5A62">
            <w:pPr>
              <w:jc w:val="center"/>
              <w:cnfStyle w:val="000000000000" w:firstRow="0" w:lastRow="0" w:firstColumn="0" w:lastColumn="0" w:oddVBand="0" w:evenVBand="0" w:oddHBand="0" w:evenHBand="0" w:firstRowFirstColumn="0" w:firstRowLastColumn="0" w:lastRowFirstColumn="0" w:lastRowLastColumn="0"/>
            </w:pPr>
            <w:r w:rsidRPr="00E920C3">
              <w:t>100,40%</w:t>
            </w:r>
          </w:p>
        </w:tc>
        <w:tc>
          <w:tcPr>
            <w:tcW w:w="1060" w:type="dxa"/>
            <w:noWrap/>
            <w:hideMark/>
          </w:tcPr>
          <w:p w:rsidR="00A35D87" w:rsidRPr="00E920C3" w:rsidRDefault="00A35D87" w:rsidP="00FE5A62">
            <w:pPr>
              <w:jc w:val="center"/>
              <w:cnfStyle w:val="000000000000" w:firstRow="0" w:lastRow="0" w:firstColumn="0" w:lastColumn="0" w:oddVBand="0" w:evenVBand="0" w:oddHBand="0" w:evenHBand="0" w:firstRowFirstColumn="0" w:firstRowLastColumn="0" w:lastRowFirstColumn="0" w:lastRowLastColumn="0"/>
            </w:pPr>
            <w:r w:rsidRPr="00E920C3">
              <w:t>102,40%</w:t>
            </w:r>
          </w:p>
        </w:tc>
        <w:tc>
          <w:tcPr>
            <w:tcW w:w="1280" w:type="dxa"/>
            <w:noWrap/>
            <w:hideMark/>
          </w:tcPr>
          <w:p w:rsidR="00A35D87" w:rsidRPr="00E920C3" w:rsidRDefault="00A35D87" w:rsidP="00FE5A62">
            <w:pPr>
              <w:jc w:val="center"/>
              <w:cnfStyle w:val="000000000000" w:firstRow="0" w:lastRow="0" w:firstColumn="0" w:lastColumn="0" w:oddVBand="0" w:evenVBand="0" w:oddHBand="0" w:evenHBand="0" w:firstRowFirstColumn="0" w:firstRowLastColumn="0" w:lastRowFirstColumn="0" w:lastRowLastColumn="0"/>
            </w:pPr>
            <w:r w:rsidRPr="00E920C3">
              <w:t>102,80%</w:t>
            </w:r>
          </w:p>
        </w:tc>
        <w:tc>
          <w:tcPr>
            <w:tcW w:w="1540" w:type="dxa"/>
            <w:noWrap/>
            <w:hideMark/>
          </w:tcPr>
          <w:p w:rsidR="00A35D87" w:rsidRPr="00E920C3" w:rsidRDefault="00A35D87" w:rsidP="00FE5A62">
            <w:pPr>
              <w:jc w:val="center"/>
              <w:cnfStyle w:val="000000000000" w:firstRow="0" w:lastRow="0" w:firstColumn="0" w:lastColumn="0" w:oddVBand="0" w:evenVBand="0" w:oddHBand="0" w:evenHBand="0" w:firstRowFirstColumn="0" w:firstRowLastColumn="0" w:lastRowFirstColumn="0" w:lastRowLastColumn="0"/>
            </w:pPr>
            <w:r w:rsidRPr="00E920C3">
              <w:t>103,40%</w:t>
            </w:r>
          </w:p>
        </w:tc>
      </w:tr>
      <w:tr w:rsidR="00A35D87" w:rsidRPr="007713C3" w:rsidTr="00A35D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2" w:type="dxa"/>
            <w:noWrap/>
            <w:hideMark/>
          </w:tcPr>
          <w:p w:rsidR="00A35D87" w:rsidRDefault="00A35D87" w:rsidP="00A35D87">
            <w:pPr>
              <w:rPr>
                <w:rFonts w:ascii="Calibri" w:eastAsia="Times New Roman" w:hAnsi="Calibri" w:cs="Calibri"/>
                <w:color w:val="000000"/>
                <w:lang w:eastAsia="hu-HU"/>
              </w:rPr>
            </w:pPr>
            <w:r w:rsidRPr="007713C3">
              <w:rPr>
                <w:rFonts w:ascii="Calibri" w:eastAsia="Times New Roman" w:hAnsi="Calibri" w:cs="Calibri"/>
                <w:color w:val="000000"/>
                <w:lang w:eastAsia="hu-HU"/>
              </w:rPr>
              <w:t>élelmiszer infláció</w:t>
            </w:r>
          </w:p>
          <w:p w:rsidR="00A35D87" w:rsidRPr="007713C3" w:rsidRDefault="00A35D87" w:rsidP="00A35D87">
            <w:pPr>
              <w:rPr>
                <w:rFonts w:ascii="Calibri" w:eastAsia="Times New Roman" w:hAnsi="Calibri" w:cs="Calibri"/>
                <w:color w:val="000000"/>
                <w:lang w:eastAsia="hu-HU"/>
              </w:rPr>
            </w:pPr>
          </w:p>
        </w:tc>
        <w:tc>
          <w:tcPr>
            <w:tcW w:w="1060" w:type="dxa"/>
            <w:noWrap/>
            <w:hideMark/>
          </w:tcPr>
          <w:p w:rsidR="00A35D87" w:rsidRPr="00E920C3" w:rsidRDefault="00A35D87" w:rsidP="00FE5A62">
            <w:pPr>
              <w:jc w:val="center"/>
              <w:cnfStyle w:val="000000100000" w:firstRow="0" w:lastRow="0" w:firstColumn="0" w:lastColumn="0" w:oddVBand="0" w:evenVBand="0" w:oddHBand="1" w:evenHBand="0" w:firstRowFirstColumn="0" w:firstRowLastColumn="0" w:lastRowFirstColumn="0" w:lastRowLastColumn="0"/>
            </w:pPr>
            <w:r w:rsidRPr="00E920C3">
              <w:t>102,80%</w:t>
            </w:r>
          </w:p>
        </w:tc>
        <w:tc>
          <w:tcPr>
            <w:tcW w:w="1060" w:type="dxa"/>
            <w:noWrap/>
            <w:hideMark/>
          </w:tcPr>
          <w:p w:rsidR="00A35D87" w:rsidRPr="00E920C3" w:rsidRDefault="00A35D87" w:rsidP="00FE5A62">
            <w:pPr>
              <w:jc w:val="center"/>
              <w:cnfStyle w:val="000000100000" w:firstRow="0" w:lastRow="0" w:firstColumn="0" w:lastColumn="0" w:oddVBand="0" w:evenVBand="0" w:oddHBand="1" w:evenHBand="0" w:firstRowFirstColumn="0" w:firstRowLastColumn="0" w:lastRowFirstColumn="0" w:lastRowLastColumn="0"/>
            </w:pPr>
            <w:r w:rsidRPr="00E920C3">
              <w:t>99,60%</w:t>
            </w:r>
          </w:p>
        </w:tc>
        <w:tc>
          <w:tcPr>
            <w:tcW w:w="1060" w:type="dxa"/>
            <w:noWrap/>
            <w:hideMark/>
          </w:tcPr>
          <w:p w:rsidR="00A35D87" w:rsidRPr="00E920C3" w:rsidRDefault="00A35D87" w:rsidP="00FE5A62">
            <w:pPr>
              <w:jc w:val="center"/>
              <w:cnfStyle w:val="000000100000" w:firstRow="0" w:lastRow="0" w:firstColumn="0" w:lastColumn="0" w:oddVBand="0" w:evenVBand="0" w:oddHBand="1" w:evenHBand="0" w:firstRowFirstColumn="0" w:firstRowLastColumn="0" w:lastRowFirstColumn="0" w:lastRowLastColumn="0"/>
            </w:pPr>
            <w:r w:rsidRPr="00E920C3">
              <w:t>99,10%</w:t>
            </w:r>
          </w:p>
        </w:tc>
        <w:tc>
          <w:tcPr>
            <w:tcW w:w="1060" w:type="dxa"/>
            <w:noWrap/>
            <w:hideMark/>
          </w:tcPr>
          <w:p w:rsidR="00A35D87" w:rsidRPr="00E920C3" w:rsidRDefault="00A35D87" w:rsidP="00FE5A62">
            <w:pPr>
              <w:jc w:val="center"/>
              <w:cnfStyle w:val="000000100000" w:firstRow="0" w:lastRow="0" w:firstColumn="0" w:lastColumn="0" w:oddVBand="0" w:evenVBand="0" w:oddHBand="1" w:evenHBand="0" w:firstRowFirstColumn="0" w:firstRowLastColumn="0" w:lastRowFirstColumn="0" w:lastRowLastColumn="0"/>
            </w:pPr>
            <w:r w:rsidRPr="00E920C3">
              <w:t>100,70%</w:t>
            </w:r>
          </w:p>
        </w:tc>
        <w:tc>
          <w:tcPr>
            <w:tcW w:w="1060" w:type="dxa"/>
            <w:noWrap/>
            <w:hideMark/>
          </w:tcPr>
          <w:p w:rsidR="00A35D87" w:rsidRPr="00E920C3" w:rsidRDefault="00A35D87" w:rsidP="00FE5A62">
            <w:pPr>
              <w:jc w:val="center"/>
              <w:cnfStyle w:val="000000100000" w:firstRow="0" w:lastRow="0" w:firstColumn="0" w:lastColumn="0" w:oddVBand="0" w:evenVBand="0" w:oddHBand="1" w:evenHBand="0" w:firstRowFirstColumn="0" w:firstRowLastColumn="0" w:lastRowFirstColumn="0" w:lastRowLastColumn="0"/>
            </w:pPr>
            <w:r w:rsidRPr="00E920C3">
              <w:t>102,80%</w:t>
            </w:r>
          </w:p>
        </w:tc>
        <w:tc>
          <w:tcPr>
            <w:tcW w:w="1280" w:type="dxa"/>
            <w:noWrap/>
            <w:hideMark/>
          </w:tcPr>
          <w:p w:rsidR="00A35D87" w:rsidRPr="00E920C3" w:rsidRDefault="00A35D87" w:rsidP="00FE5A62">
            <w:pPr>
              <w:jc w:val="center"/>
              <w:cnfStyle w:val="000000100000" w:firstRow="0" w:lastRow="0" w:firstColumn="0" w:lastColumn="0" w:oddVBand="0" w:evenVBand="0" w:oddHBand="1" w:evenHBand="0" w:firstRowFirstColumn="0" w:firstRowLastColumn="0" w:lastRowFirstColumn="0" w:lastRowLastColumn="0"/>
            </w:pPr>
            <w:r w:rsidRPr="00E920C3">
              <w:t>104,20%</w:t>
            </w:r>
          </w:p>
        </w:tc>
        <w:tc>
          <w:tcPr>
            <w:tcW w:w="1540" w:type="dxa"/>
            <w:noWrap/>
            <w:hideMark/>
          </w:tcPr>
          <w:p w:rsidR="00A35D87" w:rsidRPr="00E920C3" w:rsidRDefault="00A35D87" w:rsidP="00FE5A62">
            <w:pPr>
              <w:jc w:val="center"/>
              <w:cnfStyle w:val="000000100000" w:firstRow="0" w:lastRow="0" w:firstColumn="0" w:lastColumn="0" w:oddVBand="0" w:evenVBand="0" w:oddHBand="1" w:evenHBand="0" w:firstRowFirstColumn="0" w:firstRowLastColumn="0" w:lastRowFirstColumn="0" w:lastRowLastColumn="0"/>
            </w:pPr>
            <w:r w:rsidRPr="00E920C3">
              <w:t>105,40%</w:t>
            </w:r>
          </w:p>
        </w:tc>
      </w:tr>
      <w:tr w:rsidR="00A35D87" w:rsidRPr="007713C3" w:rsidTr="00A35D87">
        <w:trPr>
          <w:trHeight w:val="300"/>
        </w:trPr>
        <w:tc>
          <w:tcPr>
            <w:cnfStyle w:val="001000000000" w:firstRow="0" w:lastRow="0" w:firstColumn="1" w:lastColumn="0" w:oddVBand="0" w:evenVBand="0" w:oddHBand="0" w:evenHBand="0" w:firstRowFirstColumn="0" w:firstRowLastColumn="0" w:lastRowFirstColumn="0" w:lastRowLastColumn="0"/>
            <w:tcW w:w="1642" w:type="dxa"/>
            <w:noWrap/>
            <w:hideMark/>
          </w:tcPr>
          <w:p w:rsidR="00A35D87" w:rsidRPr="007713C3" w:rsidRDefault="00A35D87" w:rsidP="00A35D87">
            <w:pPr>
              <w:rPr>
                <w:rFonts w:ascii="Calibri" w:eastAsia="Times New Roman" w:hAnsi="Calibri" w:cs="Calibri"/>
                <w:color w:val="000000"/>
                <w:lang w:eastAsia="hu-HU"/>
              </w:rPr>
            </w:pPr>
            <w:r w:rsidRPr="007713C3">
              <w:rPr>
                <w:rFonts w:ascii="Calibri" w:eastAsia="Times New Roman" w:hAnsi="Calibri" w:cs="Calibri"/>
                <w:color w:val="000000"/>
                <w:lang w:eastAsia="hu-HU"/>
              </w:rPr>
              <w:t>létminimum-élelmiszerkosár ár</w:t>
            </w:r>
            <w:r>
              <w:rPr>
                <w:rFonts w:ascii="Calibri" w:eastAsia="Times New Roman" w:hAnsi="Calibri" w:cs="Calibri"/>
                <w:color w:val="000000"/>
                <w:lang w:eastAsia="hu-HU"/>
              </w:rPr>
              <w:t xml:space="preserve">ának </w:t>
            </w:r>
            <w:r w:rsidRPr="007713C3">
              <w:rPr>
                <w:rFonts w:ascii="Calibri" w:eastAsia="Times New Roman" w:hAnsi="Calibri" w:cs="Calibri"/>
                <w:color w:val="000000"/>
                <w:lang w:eastAsia="hu-HU"/>
              </w:rPr>
              <w:t>v</w:t>
            </w:r>
            <w:r>
              <w:rPr>
                <w:rFonts w:ascii="Calibri" w:eastAsia="Times New Roman" w:hAnsi="Calibri" w:cs="Calibri"/>
                <w:color w:val="000000"/>
                <w:lang w:eastAsia="hu-HU"/>
              </w:rPr>
              <w:t>á</w:t>
            </w:r>
            <w:r w:rsidRPr="007713C3">
              <w:rPr>
                <w:rFonts w:ascii="Calibri" w:eastAsia="Times New Roman" w:hAnsi="Calibri" w:cs="Calibri"/>
                <w:color w:val="000000"/>
                <w:lang w:eastAsia="hu-HU"/>
              </w:rPr>
              <w:t>ltozása</w:t>
            </w:r>
          </w:p>
        </w:tc>
        <w:tc>
          <w:tcPr>
            <w:tcW w:w="1060" w:type="dxa"/>
            <w:noWrap/>
            <w:hideMark/>
          </w:tcPr>
          <w:p w:rsidR="00A35D87" w:rsidRPr="00E920C3" w:rsidRDefault="00A35D87" w:rsidP="00FE5A62">
            <w:pPr>
              <w:jc w:val="center"/>
              <w:cnfStyle w:val="000000000000" w:firstRow="0" w:lastRow="0" w:firstColumn="0" w:lastColumn="0" w:oddVBand="0" w:evenVBand="0" w:oddHBand="0" w:evenHBand="0" w:firstRowFirstColumn="0" w:firstRowLastColumn="0" w:lastRowFirstColumn="0" w:lastRowLastColumn="0"/>
            </w:pPr>
            <w:r w:rsidRPr="00E920C3">
              <w:t>100,0%</w:t>
            </w:r>
          </w:p>
        </w:tc>
        <w:tc>
          <w:tcPr>
            <w:tcW w:w="1060" w:type="dxa"/>
            <w:noWrap/>
            <w:hideMark/>
          </w:tcPr>
          <w:p w:rsidR="00A35D87" w:rsidRPr="00E920C3" w:rsidRDefault="00A35D87" w:rsidP="00FE5A62">
            <w:pPr>
              <w:jc w:val="center"/>
              <w:cnfStyle w:val="000000000000" w:firstRow="0" w:lastRow="0" w:firstColumn="0" w:lastColumn="0" w:oddVBand="0" w:evenVBand="0" w:oddHBand="0" w:evenHBand="0" w:firstRowFirstColumn="0" w:firstRowLastColumn="0" w:lastRowFirstColumn="0" w:lastRowLastColumn="0"/>
            </w:pPr>
            <w:r w:rsidRPr="00E920C3">
              <w:t>99,4%</w:t>
            </w:r>
          </w:p>
        </w:tc>
        <w:tc>
          <w:tcPr>
            <w:tcW w:w="1060" w:type="dxa"/>
            <w:noWrap/>
            <w:hideMark/>
          </w:tcPr>
          <w:p w:rsidR="00A35D87" w:rsidRPr="00E920C3" w:rsidRDefault="00A35D87" w:rsidP="00FE5A62">
            <w:pPr>
              <w:jc w:val="center"/>
              <w:cnfStyle w:val="000000000000" w:firstRow="0" w:lastRow="0" w:firstColumn="0" w:lastColumn="0" w:oddVBand="0" w:evenVBand="0" w:oddHBand="0" w:evenHBand="0" w:firstRowFirstColumn="0" w:firstRowLastColumn="0" w:lastRowFirstColumn="0" w:lastRowLastColumn="0"/>
            </w:pPr>
            <w:r w:rsidRPr="00E920C3">
              <w:t>101,2%</w:t>
            </w:r>
          </w:p>
        </w:tc>
        <w:tc>
          <w:tcPr>
            <w:tcW w:w="1060" w:type="dxa"/>
            <w:noWrap/>
            <w:hideMark/>
          </w:tcPr>
          <w:p w:rsidR="00A35D87" w:rsidRPr="00E920C3" w:rsidRDefault="00A35D87" w:rsidP="00FE5A62">
            <w:pPr>
              <w:jc w:val="center"/>
              <w:cnfStyle w:val="000000000000" w:firstRow="0" w:lastRow="0" w:firstColumn="0" w:lastColumn="0" w:oddVBand="0" w:evenVBand="0" w:oddHBand="0" w:evenHBand="0" w:firstRowFirstColumn="0" w:firstRowLastColumn="0" w:lastRowFirstColumn="0" w:lastRowLastColumn="0"/>
            </w:pPr>
            <w:r w:rsidRPr="00E920C3">
              <w:t>101,4%</w:t>
            </w:r>
          </w:p>
        </w:tc>
        <w:tc>
          <w:tcPr>
            <w:tcW w:w="1060" w:type="dxa"/>
            <w:noWrap/>
            <w:hideMark/>
          </w:tcPr>
          <w:p w:rsidR="00A35D87" w:rsidRPr="00E920C3" w:rsidRDefault="00A35D87" w:rsidP="00FE5A62">
            <w:pPr>
              <w:jc w:val="center"/>
              <w:cnfStyle w:val="000000000000" w:firstRow="0" w:lastRow="0" w:firstColumn="0" w:lastColumn="0" w:oddVBand="0" w:evenVBand="0" w:oddHBand="0" w:evenHBand="0" w:firstRowFirstColumn="0" w:firstRowLastColumn="0" w:lastRowFirstColumn="0" w:lastRowLastColumn="0"/>
            </w:pPr>
            <w:r w:rsidRPr="00E920C3">
              <w:t>101,4%</w:t>
            </w:r>
          </w:p>
        </w:tc>
        <w:tc>
          <w:tcPr>
            <w:tcW w:w="1280" w:type="dxa"/>
            <w:noWrap/>
            <w:hideMark/>
          </w:tcPr>
          <w:p w:rsidR="00A35D87" w:rsidRPr="00E920C3" w:rsidRDefault="00A35D87" w:rsidP="00FE5A62">
            <w:pPr>
              <w:jc w:val="center"/>
              <w:cnfStyle w:val="000000000000" w:firstRow="0" w:lastRow="0" w:firstColumn="0" w:lastColumn="0" w:oddVBand="0" w:evenVBand="0" w:oddHBand="0" w:evenHBand="0" w:firstRowFirstColumn="0" w:firstRowLastColumn="0" w:lastRowFirstColumn="0" w:lastRowLastColumn="0"/>
            </w:pPr>
            <w:r w:rsidRPr="00E920C3">
              <w:t>105,7%</w:t>
            </w:r>
          </w:p>
        </w:tc>
        <w:tc>
          <w:tcPr>
            <w:tcW w:w="1540" w:type="dxa"/>
            <w:noWrap/>
            <w:hideMark/>
          </w:tcPr>
          <w:p w:rsidR="00A35D87" w:rsidRDefault="00A35D87" w:rsidP="00FE5A62">
            <w:pPr>
              <w:jc w:val="center"/>
              <w:cnfStyle w:val="000000000000" w:firstRow="0" w:lastRow="0" w:firstColumn="0" w:lastColumn="0" w:oddVBand="0" w:evenVBand="0" w:oddHBand="0" w:evenHBand="0" w:firstRowFirstColumn="0" w:firstRowLastColumn="0" w:lastRowFirstColumn="0" w:lastRowLastColumn="0"/>
            </w:pPr>
            <w:r w:rsidRPr="00E920C3">
              <w:t>106,90%</w:t>
            </w:r>
          </w:p>
        </w:tc>
      </w:tr>
    </w:tbl>
    <w:p w:rsidR="00570E12" w:rsidRDefault="00570E12" w:rsidP="00570E12">
      <w:pPr>
        <w:rPr>
          <w:rFonts w:ascii="Calibri" w:eastAsia="Times New Roman" w:hAnsi="Calibri" w:cs="Calibri"/>
          <w:lang w:eastAsia="hu-HU"/>
        </w:rPr>
      </w:pPr>
    </w:p>
    <w:p w:rsidR="00570E12" w:rsidRPr="00B958BE" w:rsidRDefault="00570E12" w:rsidP="00570E12">
      <w:pPr>
        <w:spacing w:line="276" w:lineRule="auto"/>
        <w:jc w:val="both"/>
        <w:rPr>
          <w:rFonts w:cstheme="minorHAnsi"/>
          <w:b/>
          <w:lang w:eastAsia="hu-HU"/>
        </w:rPr>
      </w:pPr>
      <w:r>
        <w:rPr>
          <w:rFonts w:ascii="Calibri" w:eastAsia="Times New Roman" w:hAnsi="Calibri" w:cs="Calibri"/>
          <w:lang w:eastAsia="hu-HU"/>
        </w:rPr>
        <w:t xml:space="preserve">Mindezek alapján, figyelembe véve az egy felnőttre jutó létminimum és élelmiszerkosár arányát is </w:t>
      </w:r>
      <w:r w:rsidRPr="00B958BE">
        <w:rPr>
          <w:rFonts w:cstheme="minorHAnsi"/>
          <w:b/>
          <w:lang w:eastAsia="hu-HU"/>
        </w:rPr>
        <w:t>201</w:t>
      </w:r>
      <w:r w:rsidR="00FE5A62">
        <w:rPr>
          <w:rFonts w:cstheme="minorHAnsi"/>
          <w:b/>
          <w:lang w:eastAsia="hu-HU"/>
        </w:rPr>
        <w:t>9</w:t>
      </w:r>
      <w:r w:rsidRPr="00B958BE">
        <w:rPr>
          <w:rFonts w:cstheme="minorHAnsi"/>
          <w:b/>
          <w:lang w:eastAsia="hu-HU"/>
        </w:rPr>
        <w:t xml:space="preserve">-ben a létminimum egy fogyasztási egységre számított átlagos értéke </w:t>
      </w:r>
      <w:r w:rsidRPr="00570E12">
        <w:rPr>
          <w:rFonts w:cstheme="minorHAnsi"/>
          <w:b/>
          <w:lang w:eastAsia="hu-HU"/>
        </w:rPr>
        <w:t xml:space="preserve">havonta </w:t>
      </w:r>
      <w:r w:rsidR="00FE5A62">
        <w:rPr>
          <w:rFonts w:cstheme="minorHAnsi"/>
          <w:b/>
          <w:lang w:eastAsia="hu-HU"/>
        </w:rPr>
        <w:t>101 398</w:t>
      </w:r>
      <w:r w:rsidRPr="00570E12">
        <w:rPr>
          <w:rFonts w:cstheme="minorHAnsi"/>
          <w:b/>
          <w:lang w:eastAsia="hu-HU"/>
        </w:rPr>
        <w:t xml:space="preserve"> Ft</w:t>
      </w:r>
      <w:r w:rsidRPr="00B958BE">
        <w:rPr>
          <w:rFonts w:cstheme="minorHAnsi"/>
          <w:b/>
          <w:lang w:eastAsia="hu-HU"/>
        </w:rPr>
        <w:t xml:space="preserve"> volt.</w:t>
      </w:r>
    </w:p>
    <w:p w:rsidR="00570E12" w:rsidRPr="007B1241" w:rsidRDefault="00570E12" w:rsidP="00570E12">
      <w:pPr>
        <w:spacing w:line="276" w:lineRule="auto"/>
        <w:jc w:val="both"/>
        <w:rPr>
          <w:rFonts w:cstheme="minorHAnsi"/>
          <w:lang w:eastAsia="hu-HU"/>
        </w:rPr>
      </w:pPr>
      <w:r w:rsidRPr="00B958BE">
        <w:rPr>
          <w:rFonts w:cstheme="minorHAnsi"/>
          <w:lang w:eastAsia="hu-HU"/>
        </w:rPr>
        <w:t>A háztartástípusonkénti létminimum-értékeket a fogyasztási egységek háztartástípusonkénti száma és az egy fogyasztási egységre számított átlagos érték szorzata adja. A differenciáláshoz</w:t>
      </w:r>
      <w:r w:rsidRPr="007B1241">
        <w:rPr>
          <w:rFonts w:cstheme="minorHAnsi"/>
          <w:lang w:eastAsia="hu-HU"/>
        </w:rPr>
        <w:t xml:space="preserve"> a nemzetközi statisztikai gyakorlatot szem előtt tartva fogyasztásiegység-kulcsokon (ún. ekviv</w:t>
      </w:r>
      <w:r>
        <w:rPr>
          <w:rFonts w:cstheme="minorHAnsi"/>
          <w:lang w:eastAsia="hu-HU"/>
        </w:rPr>
        <w:t>alencia-skálán) alapuló számítást használtuk</w:t>
      </w:r>
      <w:r w:rsidRPr="007B1241">
        <w:rPr>
          <w:rFonts w:cstheme="minorHAnsi"/>
          <w:lang w:eastAsia="hu-HU"/>
        </w:rPr>
        <w:t>.</w:t>
      </w:r>
    </w:p>
    <w:p w:rsidR="00570E12" w:rsidRPr="007B1241" w:rsidRDefault="00570E12" w:rsidP="00570E12">
      <w:pPr>
        <w:spacing w:line="276" w:lineRule="auto"/>
        <w:jc w:val="both"/>
        <w:rPr>
          <w:rFonts w:cstheme="minorHAnsi"/>
          <w:lang w:eastAsia="hu-HU"/>
        </w:rPr>
      </w:pPr>
      <w:r w:rsidRPr="007B1241">
        <w:rPr>
          <w:rFonts w:cstheme="minorHAnsi"/>
          <w:lang w:eastAsia="hu-HU"/>
        </w:rPr>
        <w:t>E kulcsszámokat alkalmazva az egy aktív korú személyből álló háztartás 1,00. Az egy aktív korú személyből és egy gyermekből álló 1,65, a két aktív korú személyből és két gyermekből álló négy személyes háztartás 2,90 fogyasztási egységnek felel meg (1,00 + 0,65 = 1,65; illetve 1,00 + 0,75 +0,65 + 0,50 = 2,90).</w:t>
      </w:r>
    </w:p>
    <w:p w:rsidR="00570E12" w:rsidRPr="007B1241" w:rsidRDefault="00570E12" w:rsidP="00570E12">
      <w:pPr>
        <w:spacing w:line="276" w:lineRule="auto"/>
        <w:jc w:val="both"/>
        <w:rPr>
          <w:rFonts w:cstheme="minorHAnsi"/>
          <w:lang w:eastAsia="hu-HU"/>
        </w:rPr>
      </w:pPr>
      <w:r w:rsidRPr="007B1241">
        <w:rPr>
          <w:rFonts w:cstheme="minorHAnsi"/>
          <w:lang w:eastAsia="hu-HU"/>
        </w:rPr>
        <w:t xml:space="preserve">A háztartás első felnőtt személyét egy fogyasztási egységnek tekintjük, míg a háztartás többi személye egynél kisebb egységet képvisel. Ennek magyarázata, hogy a háztartásnak számos olyan kiadása van, </w:t>
      </w:r>
      <w:r w:rsidRPr="007B1241">
        <w:rPr>
          <w:rFonts w:cstheme="minorHAnsi"/>
          <w:lang w:eastAsia="hu-HU"/>
        </w:rPr>
        <w:lastRenderedPageBreak/>
        <w:t xml:space="preserve">ami nem függ a háztartástagok számától, vagy ha van is összefüggés, az nem lineáris. Fogyasztási szükségletének megfelelően az aktív korúnál valamivel kisebb egységet képvisel a gyermek és az idős személy. A létminimum számítás körébe került háztartás nagysága jellemezhető a fogyasztási egységek számával. </w:t>
      </w:r>
    </w:p>
    <w:p w:rsidR="00570E12" w:rsidRPr="007B1241" w:rsidRDefault="00570E12" w:rsidP="00570E12">
      <w:pPr>
        <w:spacing w:after="0" w:line="240" w:lineRule="auto"/>
        <w:jc w:val="right"/>
        <w:rPr>
          <w:rStyle w:val="Kiemels2"/>
          <w:rFonts w:cstheme="minorHAnsi"/>
          <w:lang w:eastAsia="hu-HU"/>
        </w:rPr>
      </w:pPr>
      <w:r>
        <w:rPr>
          <w:rStyle w:val="Kiemels2"/>
          <w:rFonts w:cstheme="minorHAnsi"/>
          <w:lang w:eastAsia="hu-HU"/>
        </w:rPr>
        <w:t>3</w:t>
      </w:r>
      <w:r w:rsidRPr="007B1241">
        <w:rPr>
          <w:rStyle w:val="Kiemels2"/>
          <w:rFonts w:cstheme="minorHAnsi"/>
          <w:lang w:eastAsia="hu-HU"/>
        </w:rPr>
        <w:t>. tábla</w:t>
      </w:r>
    </w:p>
    <w:p w:rsidR="00570E12" w:rsidRPr="007B1241" w:rsidRDefault="00570E12" w:rsidP="00570E12">
      <w:pPr>
        <w:spacing w:after="0" w:line="240" w:lineRule="auto"/>
        <w:jc w:val="center"/>
        <w:rPr>
          <w:rStyle w:val="Kiemels2"/>
          <w:rFonts w:cstheme="minorHAnsi"/>
          <w:lang w:eastAsia="hu-HU"/>
        </w:rPr>
      </w:pPr>
      <w:r w:rsidRPr="007B1241">
        <w:rPr>
          <w:rStyle w:val="Kiemels2"/>
          <w:rFonts w:cstheme="minorHAnsi"/>
          <w:lang w:eastAsia="hu-HU"/>
        </w:rPr>
        <w:t>A KSH létminimum-számításának fogyasztásiegység-kulcsszámai</w:t>
      </w:r>
    </w:p>
    <w:p w:rsidR="00570E12" w:rsidRPr="007B1241" w:rsidRDefault="00570E12" w:rsidP="00570E12">
      <w:pPr>
        <w:spacing w:after="0" w:line="240" w:lineRule="auto"/>
        <w:jc w:val="center"/>
        <w:rPr>
          <w:rStyle w:val="Kiemels2"/>
          <w:rFonts w:cstheme="minorHAnsi"/>
          <w:lang w:eastAsia="hu-HU"/>
        </w:rPr>
      </w:pPr>
      <w:r w:rsidRPr="007B1241">
        <w:rPr>
          <w:rStyle w:val="Kiemels2"/>
          <w:rFonts w:cstheme="minorHAnsi"/>
          <w:lang w:eastAsia="hu-HU"/>
        </w:rPr>
        <w:t>(ekvivalencia</w:t>
      </w:r>
      <w:r>
        <w:rPr>
          <w:rStyle w:val="Kiemels2"/>
          <w:rFonts w:cstheme="minorHAnsi"/>
          <w:lang w:eastAsia="hu-HU"/>
        </w:rPr>
        <w:t xml:space="preserve"> </w:t>
      </w:r>
      <w:r w:rsidRPr="007B1241">
        <w:rPr>
          <w:rStyle w:val="Kiemels2"/>
          <w:rFonts w:cstheme="minorHAnsi"/>
          <w:lang w:eastAsia="hu-HU"/>
        </w:rPr>
        <w:t>skála)</w:t>
      </w:r>
    </w:p>
    <w:tbl>
      <w:tblPr>
        <w:tblW w:w="3750" w:type="pct"/>
        <w:tblInd w:w="1134" w:type="dxa"/>
        <w:tblLayout w:type="fixed"/>
        <w:tblCellMar>
          <w:left w:w="70" w:type="dxa"/>
          <w:right w:w="70" w:type="dxa"/>
        </w:tblCellMar>
        <w:tblLook w:val="04A0" w:firstRow="1" w:lastRow="0" w:firstColumn="1" w:lastColumn="0" w:noHBand="0" w:noVBand="1"/>
      </w:tblPr>
      <w:tblGrid>
        <w:gridCol w:w="2251"/>
        <w:gridCol w:w="1154"/>
        <w:gridCol w:w="2124"/>
        <w:gridCol w:w="1275"/>
      </w:tblGrid>
      <w:tr w:rsidR="00570E12" w:rsidRPr="007B1241" w:rsidTr="00570E12">
        <w:trPr>
          <w:trHeight w:val="765"/>
        </w:trPr>
        <w:tc>
          <w:tcPr>
            <w:tcW w:w="2502" w:type="pct"/>
            <w:gridSpan w:val="2"/>
            <w:tcBorders>
              <w:top w:val="single" w:sz="4" w:space="0" w:color="auto"/>
              <w:left w:val="nil"/>
              <w:bottom w:val="single" w:sz="4" w:space="0" w:color="auto"/>
              <w:right w:val="single" w:sz="4" w:space="0" w:color="000000"/>
            </w:tcBorders>
            <w:shd w:val="clear" w:color="auto" w:fill="auto"/>
            <w:vAlign w:val="bottom"/>
            <w:hideMark/>
          </w:tcPr>
          <w:p w:rsidR="00570E12" w:rsidRPr="00B341E9" w:rsidRDefault="00570E12" w:rsidP="00A35D87">
            <w:pPr>
              <w:spacing w:after="0" w:line="240" w:lineRule="auto"/>
              <w:jc w:val="center"/>
              <w:rPr>
                <w:rFonts w:eastAsia="Times New Roman" w:cstheme="minorHAnsi"/>
                <w:color w:val="000000"/>
                <w:sz w:val="20"/>
                <w:szCs w:val="20"/>
                <w:lang w:eastAsia="hu-HU"/>
              </w:rPr>
            </w:pPr>
            <w:r w:rsidRPr="00B341E9">
              <w:rPr>
                <w:rFonts w:eastAsia="Times New Roman" w:cstheme="minorHAnsi"/>
                <w:color w:val="000000"/>
                <w:sz w:val="20"/>
                <w:szCs w:val="20"/>
                <w:lang w:eastAsia="hu-HU"/>
              </w:rPr>
              <w:t>Aktív korúak háztartásai esetében</w:t>
            </w:r>
          </w:p>
        </w:tc>
        <w:tc>
          <w:tcPr>
            <w:tcW w:w="2498" w:type="pct"/>
            <w:gridSpan w:val="2"/>
            <w:tcBorders>
              <w:top w:val="single" w:sz="4" w:space="0" w:color="auto"/>
              <w:left w:val="nil"/>
              <w:bottom w:val="single" w:sz="4" w:space="0" w:color="auto"/>
              <w:right w:val="nil"/>
            </w:tcBorders>
            <w:shd w:val="clear" w:color="auto" w:fill="auto"/>
            <w:vAlign w:val="bottom"/>
            <w:hideMark/>
          </w:tcPr>
          <w:p w:rsidR="00570E12" w:rsidRPr="00B341E9" w:rsidRDefault="00570E12" w:rsidP="00A35D87">
            <w:pPr>
              <w:spacing w:after="0" w:line="240" w:lineRule="auto"/>
              <w:jc w:val="center"/>
              <w:rPr>
                <w:rFonts w:eastAsia="Times New Roman" w:cstheme="minorHAnsi"/>
                <w:color w:val="000000"/>
                <w:sz w:val="20"/>
                <w:szCs w:val="20"/>
                <w:lang w:eastAsia="hu-HU"/>
              </w:rPr>
            </w:pPr>
            <w:r w:rsidRPr="00B341E9">
              <w:rPr>
                <w:rFonts w:eastAsia="Times New Roman" w:cstheme="minorHAnsi"/>
                <w:color w:val="000000"/>
                <w:sz w:val="20"/>
                <w:szCs w:val="20"/>
                <w:lang w:eastAsia="hu-HU"/>
              </w:rPr>
              <w:t>Nyugdíjas korúak háztartásai esetében</w:t>
            </w:r>
          </w:p>
        </w:tc>
      </w:tr>
      <w:tr w:rsidR="00570E12" w:rsidRPr="007B1241" w:rsidTr="00570E12">
        <w:trPr>
          <w:trHeight w:val="300"/>
        </w:trPr>
        <w:tc>
          <w:tcPr>
            <w:tcW w:w="1654" w:type="pct"/>
            <w:tcBorders>
              <w:top w:val="nil"/>
              <w:left w:val="nil"/>
              <w:bottom w:val="nil"/>
              <w:right w:val="nil"/>
            </w:tcBorders>
            <w:shd w:val="clear" w:color="auto" w:fill="auto"/>
            <w:vAlign w:val="bottom"/>
            <w:hideMark/>
          </w:tcPr>
          <w:p w:rsidR="00570E12" w:rsidRPr="00B341E9" w:rsidRDefault="00570E12" w:rsidP="00A35D87">
            <w:pPr>
              <w:spacing w:after="0" w:line="240" w:lineRule="auto"/>
              <w:rPr>
                <w:rFonts w:eastAsia="Times New Roman" w:cstheme="minorHAnsi"/>
                <w:color w:val="000000"/>
                <w:sz w:val="20"/>
                <w:szCs w:val="20"/>
                <w:lang w:eastAsia="hu-HU"/>
              </w:rPr>
            </w:pPr>
            <w:r w:rsidRPr="00B341E9">
              <w:rPr>
                <w:rFonts w:eastAsia="Times New Roman" w:cstheme="minorHAnsi"/>
                <w:color w:val="000000"/>
                <w:sz w:val="20"/>
                <w:szCs w:val="20"/>
                <w:lang w:eastAsia="hu-HU"/>
              </w:rPr>
              <w:t>Első felnőtt családtag</w:t>
            </w:r>
          </w:p>
        </w:tc>
        <w:tc>
          <w:tcPr>
            <w:tcW w:w="848" w:type="pct"/>
            <w:tcBorders>
              <w:top w:val="nil"/>
              <w:left w:val="nil"/>
              <w:bottom w:val="nil"/>
              <w:right w:val="nil"/>
            </w:tcBorders>
            <w:shd w:val="clear" w:color="auto" w:fill="auto"/>
            <w:noWrap/>
            <w:vAlign w:val="bottom"/>
            <w:hideMark/>
          </w:tcPr>
          <w:p w:rsidR="00570E12" w:rsidRPr="00B341E9" w:rsidRDefault="00570E12" w:rsidP="00A35D87">
            <w:pPr>
              <w:spacing w:after="0" w:line="240" w:lineRule="auto"/>
              <w:jc w:val="right"/>
              <w:rPr>
                <w:rFonts w:eastAsia="Times New Roman" w:cstheme="minorHAnsi"/>
                <w:color w:val="000000"/>
                <w:sz w:val="20"/>
                <w:szCs w:val="20"/>
                <w:lang w:eastAsia="hu-HU"/>
              </w:rPr>
            </w:pPr>
            <w:r w:rsidRPr="00B341E9">
              <w:rPr>
                <w:rFonts w:eastAsia="Times New Roman" w:cstheme="minorHAnsi"/>
                <w:color w:val="000000"/>
                <w:sz w:val="20"/>
                <w:szCs w:val="20"/>
                <w:lang w:eastAsia="hu-HU"/>
              </w:rPr>
              <w:t>1,00</w:t>
            </w:r>
          </w:p>
        </w:tc>
        <w:tc>
          <w:tcPr>
            <w:tcW w:w="1561" w:type="pct"/>
            <w:tcBorders>
              <w:top w:val="nil"/>
              <w:left w:val="nil"/>
              <w:bottom w:val="nil"/>
              <w:right w:val="nil"/>
            </w:tcBorders>
            <w:shd w:val="clear" w:color="auto" w:fill="auto"/>
            <w:noWrap/>
            <w:vAlign w:val="bottom"/>
            <w:hideMark/>
          </w:tcPr>
          <w:p w:rsidR="00570E12" w:rsidRPr="00B341E9" w:rsidRDefault="00570E12" w:rsidP="00A35D87">
            <w:pPr>
              <w:spacing w:after="0" w:line="240" w:lineRule="auto"/>
              <w:rPr>
                <w:rFonts w:eastAsia="Times New Roman" w:cstheme="minorHAnsi"/>
                <w:color w:val="000000"/>
                <w:sz w:val="20"/>
                <w:szCs w:val="20"/>
                <w:lang w:eastAsia="hu-HU"/>
              </w:rPr>
            </w:pPr>
            <w:r w:rsidRPr="00B341E9">
              <w:rPr>
                <w:rFonts w:eastAsia="Times New Roman" w:cstheme="minorHAnsi"/>
                <w:color w:val="000000"/>
                <w:sz w:val="20"/>
                <w:szCs w:val="20"/>
                <w:lang w:eastAsia="hu-HU"/>
              </w:rPr>
              <w:t>Első felnőtt családtag</w:t>
            </w:r>
          </w:p>
        </w:tc>
        <w:tc>
          <w:tcPr>
            <w:tcW w:w="937" w:type="pct"/>
            <w:tcBorders>
              <w:top w:val="nil"/>
              <w:left w:val="nil"/>
              <w:bottom w:val="nil"/>
              <w:right w:val="nil"/>
            </w:tcBorders>
            <w:shd w:val="clear" w:color="auto" w:fill="auto"/>
            <w:noWrap/>
            <w:vAlign w:val="bottom"/>
            <w:hideMark/>
          </w:tcPr>
          <w:p w:rsidR="00570E12" w:rsidRPr="00B341E9" w:rsidRDefault="00570E12" w:rsidP="00A35D87">
            <w:pPr>
              <w:spacing w:after="0" w:line="240" w:lineRule="auto"/>
              <w:jc w:val="right"/>
              <w:rPr>
                <w:rFonts w:eastAsia="Times New Roman" w:cstheme="minorHAnsi"/>
                <w:color w:val="000000"/>
                <w:sz w:val="20"/>
                <w:szCs w:val="20"/>
                <w:lang w:eastAsia="hu-HU"/>
              </w:rPr>
            </w:pPr>
            <w:r w:rsidRPr="00B341E9">
              <w:rPr>
                <w:rFonts w:eastAsia="Times New Roman" w:cstheme="minorHAnsi"/>
                <w:color w:val="000000"/>
                <w:sz w:val="20"/>
                <w:szCs w:val="20"/>
                <w:lang w:eastAsia="hu-HU"/>
              </w:rPr>
              <w:t>0,90</w:t>
            </w:r>
          </w:p>
        </w:tc>
      </w:tr>
      <w:tr w:rsidR="00570E12" w:rsidRPr="007B1241" w:rsidTr="00570E12">
        <w:trPr>
          <w:trHeight w:val="300"/>
        </w:trPr>
        <w:tc>
          <w:tcPr>
            <w:tcW w:w="1654" w:type="pct"/>
            <w:tcBorders>
              <w:top w:val="nil"/>
              <w:left w:val="nil"/>
              <w:bottom w:val="nil"/>
              <w:right w:val="nil"/>
            </w:tcBorders>
            <w:shd w:val="clear" w:color="auto" w:fill="auto"/>
            <w:vAlign w:val="bottom"/>
            <w:hideMark/>
          </w:tcPr>
          <w:p w:rsidR="00570E12" w:rsidRPr="00B341E9" w:rsidRDefault="00570E12" w:rsidP="00A35D87">
            <w:pPr>
              <w:spacing w:after="0" w:line="240" w:lineRule="auto"/>
              <w:rPr>
                <w:rFonts w:eastAsia="Times New Roman" w:cstheme="minorHAnsi"/>
                <w:color w:val="000000"/>
                <w:sz w:val="20"/>
                <w:szCs w:val="20"/>
                <w:lang w:eastAsia="hu-HU"/>
              </w:rPr>
            </w:pPr>
            <w:r w:rsidRPr="00B341E9">
              <w:rPr>
                <w:rFonts w:eastAsia="Times New Roman" w:cstheme="minorHAnsi"/>
                <w:color w:val="000000"/>
                <w:sz w:val="20"/>
                <w:szCs w:val="20"/>
                <w:lang w:eastAsia="hu-HU"/>
              </w:rPr>
              <w:t>Többi felnőtt családtag</w:t>
            </w:r>
          </w:p>
        </w:tc>
        <w:tc>
          <w:tcPr>
            <w:tcW w:w="848" w:type="pct"/>
            <w:tcBorders>
              <w:top w:val="nil"/>
              <w:left w:val="nil"/>
              <w:bottom w:val="nil"/>
              <w:right w:val="nil"/>
            </w:tcBorders>
            <w:shd w:val="clear" w:color="auto" w:fill="auto"/>
            <w:noWrap/>
            <w:vAlign w:val="bottom"/>
            <w:hideMark/>
          </w:tcPr>
          <w:p w:rsidR="00570E12" w:rsidRPr="00B341E9" w:rsidRDefault="00570E12" w:rsidP="00A35D87">
            <w:pPr>
              <w:spacing w:after="0" w:line="240" w:lineRule="auto"/>
              <w:jc w:val="right"/>
              <w:rPr>
                <w:rFonts w:eastAsia="Times New Roman" w:cstheme="minorHAnsi"/>
                <w:color w:val="000000"/>
                <w:sz w:val="20"/>
                <w:szCs w:val="20"/>
                <w:lang w:eastAsia="hu-HU"/>
              </w:rPr>
            </w:pPr>
            <w:r w:rsidRPr="00B341E9">
              <w:rPr>
                <w:rFonts w:eastAsia="Times New Roman" w:cstheme="minorHAnsi"/>
                <w:color w:val="000000"/>
                <w:sz w:val="20"/>
                <w:szCs w:val="20"/>
                <w:lang w:eastAsia="hu-HU"/>
              </w:rPr>
              <w:t>0,75</w:t>
            </w:r>
          </w:p>
        </w:tc>
        <w:tc>
          <w:tcPr>
            <w:tcW w:w="1561" w:type="pct"/>
            <w:tcBorders>
              <w:top w:val="nil"/>
              <w:left w:val="nil"/>
              <w:bottom w:val="nil"/>
              <w:right w:val="nil"/>
            </w:tcBorders>
            <w:shd w:val="clear" w:color="auto" w:fill="auto"/>
            <w:noWrap/>
            <w:vAlign w:val="bottom"/>
            <w:hideMark/>
          </w:tcPr>
          <w:p w:rsidR="00570E12" w:rsidRPr="00B341E9" w:rsidRDefault="00570E12" w:rsidP="00A35D87">
            <w:pPr>
              <w:spacing w:after="0" w:line="240" w:lineRule="auto"/>
              <w:rPr>
                <w:rFonts w:eastAsia="Times New Roman" w:cstheme="minorHAnsi"/>
                <w:color w:val="000000"/>
                <w:sz w:val="20"/>
                <w:szCs w:val="20"/>
                <w:lang w:eastAsia="hu-HU"/>
              </w:rPr>
            </w:pPr>
            <w:r w:rsidRPr="00B341E9">
              <w:rPr>
                <w:rFonts w:eastAsia="Times New Roman" w:cstheme="minorHAnsi"/>
                <w:color w:val="000000"/>
                <w:sz w:val="20"/>
                <w:szCs w:val="20"/>
                <w:lang w:eastAsia="hu-HU"/>
              </w:rPr>
              <w:t>További személyek</w:t>
            </w:r>
          </w:p>
        </w:tc>
        <w:tc>
          <w:tcPr>
            <w:tcW w:w="937" w:type="pct"/>
            <w:tcBorders>
              <w:top w:val="nil"/>
              <w:left w:val="nil"/>
              <w:bottom w:val="nil"/>
              <w:right w:val="nil"/>
            </w:tcBorders>
            <w:shd w:val="clear" w:color="auto" w:fill="auto"/>
            <w:noWrap/>
            <w:vAlign w:val="bottom"/>
            <w:hideMark/>
          </w:tcPr>
          <w:p w:rsidR="00570E12" w:rsidRPr="00B341E9" w:rsidRDefault="00570E12" w:rsidP="00A35D87">
            <w:pPr>
              <w:spacing w:after="0" w:line="240" w:lineRule="auto"/>
              <w:jc w:val="right"/>
              <w:rPr>
                <w:rFonts w:eastAsia="Times New Roman" w:cstheme="minorHAnsi"/>
                <w:color w:val="000000"/>
                <w:sz w:val="20"/>
                <w:szCs w:val="20"/>
                <w:lang w:eastAsia="hu-HU"/>
              </w:rPr>
            </w:pPr>
            <w:r w:rsidRPr="00B341E9">
              <w:rPr>
                <w:rFonts w:eastAsia="Times New Roman" w:cstheme="minorHAnsi"/>
                <w:color w:val="000000"/>
                <w:sz w:val="20"/>
                <w:szCs w:val="20"/>
                <w:lang w:eastAsia="hu-HU"/>
              </w:rPr>
              <w:t>0,65</w:t>
            </w:r>
          </w:p>
        </w:tc>
      </w:tr>
      <w:tr w:rsidR="00570E12" w:rsidRPr="007B1241" w:rsidTr="00570E12">
        <w:trPr>
          <w:trHeight w:val="300"/>
        </w:trPr>
        <w:tc>
          <w:tcPr>
            <w:tcW w:w="1654" w:type="pct"/>
            <w:tcBorders>
              <w:top w:val="nil"/>
              <w:left w:val="nil"/>
              <w:bottom w:val="nil"/>
              <w:right w:val="nil"/>
            </w:tcBorders>
            <w:shd w:val="clear" w:color="auto" w:fill="auto"/>
            <w:vAlign w:val="bottom"/>
            <w:hideMark/>
          </w:tcPr>
          <w:p w:rsidR="00570E12" w:rsidRPr="00B341E9" w:rsidRDefault="00570E12" w:rsidP="00A35D87">
            <w:pPr>
              <w:spacing w:after="0" w:line="240" w:lineRule="auto"/>
              <w:rPr>
                <w:rFonts w:eastAsia="Times New Roman" w:cstheme="minorHAnsi"/>
                <w:color w:val="000000"/>
                <w:sz w:val="20"/>
                <w:szCs w:val="20"/>
                <w:lang w:eastAsia="hu-HU"/>
              </w:rPr>
            </w:pPr>
            <w:r w:rsidRPr="00B341E9">
              <w:rPr>
                <w:rFonts w:eastAsia="Times New Roman" w:cstheme="minorHAnsi"/>
                <w:color w:val="000000"/>
                <w:sz w:val="20"/>
                <w:szCs w:val="20"/>
                <w:lang w:eastAsia="hu-HU"/>
              </w:rPr>
              <w:t>Első (0-14 éves) gyermek</w:t>
            </w:r>
          </w:p>
        </w:tc>
        <w:tc>
          <w:tcPr>
            <w:tcW w:w="848" w:type="pct"/>
            <w:tcBorders>
              <w:top w:val="nil"/>
              <w:left w:val="nil"/>
              <w:bottom w:val="nil"/>
              <w:right w:val="nil"/>
            </w:tcBorders>
            <w:shd w:val="clear" w:color="auto" w:fill="auto"/>
            <w:noWrap/>
            <w:vAlign w:val="bottom"/>
            <w:hideMark/>
          </w:tcPr>
          <w:p w:rsidR="00570E12" w:rsidRPr="00B341E9" w:rsidRDefault="00570E12" w:rsidP="00A35D87">
            <w:pPr>
              <w:spacing w:after="0" w:line="240" w:lineRule="auto"/>
              <w:jc w:val="right"/>
              <w:rPr>
                <w:rFonts w:eastAsia="Times New Roman" w:cstheme="minorHAnsi"/>
                <w:color w:val="000000"/>
                <w:sz w:val="20"/>
                <w:szCs w:val="20"/>
                <w:lang w:eastAsia="hu-HU"/>
              </w:rPr>
            </w:pPr>
            <w:r w:rsidRPr="00B341E9">
              <w:rPr>
                <w:rFonts w:eastAsia="Times New Roman" w:cstheme="minorHAnsi"/>
                <w:color w:val="000000"/>
                <w:sz w:val="20"/>
                <w:szCs w:val="20"/>
                <w:lang w:eastAsia="hu-HU"/>
              </w:rPr>
              <w:t>0,65</w:t>
            </w:r>
          </w:p>
        </w:tc>
        <w:tc>
          <w:tcPr>
            <w:tcW w:w="1561" w:type="pct"/>
            <w:tcBorders>
              <w:top w:val="nil"/>
              <w:left w:val="nil"/>
              <w:bottom w:val="nil"/>
              <w:right w:val="nil"/>
            </w:tcBorders>
            <w:shd w:val="clear" w:color="auto" w:fill="auto"/>
            <w:noWrap/>
            <w:vAlign w:val="bottom"/>
            <w:hideMark/>
          </w:tcPr>
          <w:p w:rsidR="00570E12" w:rsidRPr="00B341E9" w:rsidRDefault="00570E12" w:rsidP="00A35D87">
            <w:pPr>
              <w:spacing w:after="0" w:line="240" w:lineRule="auto"/>
              <w:jc w:val="right"/>
              <w:rPr>
                <w:rFonts w:eastAsia="Times New Roman" w:cstheme="minorHAnsi"/>
                <w:color w:val="000000"/>
                <w:sz w:val="20"/>
                <w:szCs w:val="20"/>
                <w:lang w:eastAsia="hu-HU"/>
              </w:rPr>
            </w:pPr>
          </w:p>
        </w:tc>
        <w:tc>
          <w:tcPr>
            <w:tcW w:w="937" w:type="pct"/>
            <w:tcBorders>
              <w:top w:val="nil"/>
              <w:left w:val="nil"/>
              <w:bottom w:val="nil"/>
              <w:right w:val="nil"/>
            </w:tcBorders>
            <w:shd w:val="clear" w:color="auto" w:fill="auto"/>
            <w:noWrap/>
            <w:vAlign w:val="bottom"/>
            <w:hideMark/>
          </w:tcPr>
          <w:p w:rsidR="00570E12" w:rsidRPr="00B341E9" w:rsidRDefault="00570E12" w:rsidP="00A35D87">
            <w:pPr>
              <w:spacing w:after="0" w:line="240" w:lineRule="auto"/>
              <w:rPr>
                <w:rFonts w:eastAsia="Times New Roman" w:cstheme="minorHAnsi"/>
                <w:sz w:val="20"/>
                <w:szCs w:val="20"/>
                <w:lang w:eastAsia="hu-HU"/>
              </w:rPr>
            </w:pPr>
          </w:p>
        </w:tc>
      </w:tr>
      <w:tr w:rsidR="00570E12" w:rsidRPr="007B1241" w:rsidTr="00570E12">
        <w:trPr>
          <w:trHeight w:val="600"/>
        </w:trPr>
        <w:tc>
          <w:tcPr>
            <w:tcW w:w="1654" w:type="pct"/>
            <w:tcBorders>
              <w:top w:val="nil"/>
              <w:left w:val="nil"/>
              <w:bottom w:val="nil"/>
              <w:right w:val="nil"/>
            </w:tcBorders>
            <w:shd w:val="clear" w:color="auto" w:fill="auto"/>
            <w:vAlign w:val="bottom"/>
            <w:hideMark/>
          </w:tcPr>
          <w:p w:rsidR="00570E12" w:rsidRPr="00B341E9" w:rsidRDefault="00570E12" w:rsidP="00A35D87">
            <w:pPr>
              <w:spacing w:after="0" w:line="240" w:lineRule="auto"/>
              <w:rPr>
                <w:rFonts w:eastAsia="Times New Roman" w:cstheme="minorHAnsi"/>
                <w:color w:val="000000"/>
                <w:sz w:val="20"/>
                <w:szCs w:val="20"/>
                <w:lang w:eastAsia="hu-HU"/>
              </w:rPr>
            </w:pPr>
            <w:r w:rsidRPr="00B341E9">
              <w:rPr>
                <w:rFonts w:eastAsia="Times New Roman" w:cstheme="minorHAnsi"/>
                <w:color w:val="000000"/>
                <w:sz w:val="20"/>
                <w:szCs w:val="20"/>
                <w:lang w:eastAsia="hu-HU"/>
              </w:rPr>
              <w:t>Második (0-14 éves) gyermek</w:t>
            </w:r>
          </w:p>
        </w:tc>
        <w:tc>
          <w:tcPr>
            <w:tcW w:w="848" w:type="pct"/>
            <w:tcBorders>
              <w:top w:val="nil"/>
              <w:left w:val="nil"/>
              <w:bottom w:val="nil"/>
              <w:right w:val="nil"/>
            </w:tcBorders>
            <w:shd w:val="clear" w:color="auto" w:fill="auto"/>
            <w:noWrap/>
            <w:vAlign w:val="bottom"/>
            <w:hideMark/>
          </w:tcPr>
          <w:p w:rsidR="00570E12" w:rsidRPr="00B341E9" w:rsidRDefault="00570E12" w:rsidP="00A35D87">
            <w:pPr>
              <w:spacing w:after="0" w:line="240" w:lineRule="auto"/>
              <w:jc w:val="right"/>
              <w:rPr>
                <w:rFonts w:eastAsia="Times New Roman" w:cstheme="minorHAnsi"/>
                <w:color w:val="000000"/>
                <w:sz w:val="20"/>
                <w:szCs w:val="20"/>
                <w:lang w:eastAsia="hu-HU"/>
              </w:rPr>
            </w:pPr>
            <w:r w:rsidRPr="00B341E9">
              <w:rPr>
                <w:rFonts w:eastAsia="Times New Roman" w:cstheme="minorHAnsi"/>
                <w:color w:val="000000"/>
                <w:sz w:val="20"/>
                <w:szCs w:val="20"/>
                <w:lang w:eastAsia="hu-HU"/>
              </w:rPr>
              <w:t>0,50</w:t>
            </w:r>
          </w:p>
        </w:tc>
        <w:tc>
          <w:tcPr>
            <w:tcW w:w="1561" w:type="pct"/>
            <w:tcBorders>
              <w:top w:val="nil"/>
              <w:left w:val="nil"/>
              <w:bottom w:val="nil"/>
              <w:right w:val="nil"/>
            </w:tcBorders>
            <w:shd w:val="clear" w:color="auto" w:fill="auto"/>
            <w:noWrap/>
            <w:vAlign w:val="bottom"/>
            <w:hideMark/>
          </w:tcPr>
          <w:p w:rsidR="00570E12" w:rsidRPr="00B341E9" w:rsidRDefault="00570E12" w:rsidP="00A35D87">
            <w:pPr>
              <w:spacing w:after="0" w:line="240" w:lineRule="auto"/>
              <w:jc w:val="right"/>
              <w:rPr>
                <w:rFonts w:eastAsia="Times New Roman" w:cstheme="minorHAnsi"/>
                <w:color w:val="000000"/>
                <w:sz w:val="20"/>
                <w:szCs w:val="20"/>
                <w:lang w:eastAsia="hu-HU"/>
              </w:rPr>
            </w:pPr>
          </w:p>
        </w:tc>
        <w:tc>
          <w:tcPr>
            <w:tcW w:w="937" w:type="pct"/>
            <w:tcBorders>
              <w:top w:val="nil"/>
              <w:left w:val="nil"/>
              <w:bottom w:val="nil"/>
              <w:right w:val="nil"/>
            </w:tcBorders>
            <w:shd w:val="clear" w:color="auto" w:fill="auto"/>
            <w:noWrap/>
            <w:vAlign w:val="bottom"/>
            <w:hideMark/>
          </w:tcPr>
          <w:p w:rsidR="00570E12" w:rsidRPr="00B341E9" w:rsidRDefault="00570E12" w:rsidP="00A35D87">
            <w:pPr>
              <w:spacing w:after="0" w:line="240" w:lineRule="auto"/>
              <w:rPr>
                <w:rFonts w:eastAsia="Times New Roman" w:cstheme="minorHAnsi"/>
                <w:sz w:val="20"/>
                <w:szCs w:val="20"/>
                <w:lang w:eastAsia="hu-HU"/>
              </w:rPr>
            </w:pPr>
          </w:p>
        </w:tc>
      </w:tr>
      <w:tr w:rsidR="00570E12" w:rsidRPr="007B1241" w:rsidTr="00570E12">
        <w:trPr>
          <w:trHeight w:val="900"/>
        </w:trPr>
        <w:tc>
          <w:tcPr>
            <w:tcW w:w="1654" w:type="pct"/>
            <w:tcBorders>
              <w:top w:val="nil"/>
              <w:left w:val="nil"/>
              <w:bottom w:val="nil"/>
              <w:right w:val="nil"/>
            </w:tcBorders>
            <w:shd w:val="clear" w:color="auto" w:fill="auto"/>
            <w:vAlign w:val="bottom"/>
            <w:hideMark/>
          </w:tcPr>
          <w:p w:rsidR="00570E12" w:rsidRPr="00B341E9" w:rsidRDefault="00570E12" w:rsidP="00A35D87">
            <w:pPr>
              <w:spacing w:after="0" w:line="240" w:lineRule="auto"/>
              <w:rPr>
                <w:rFonts w:eastAsia="Times New Roman" w:cstheme="minorHAnsi"/>
                <w:color w:val="000000"/>
                <w:sz w:val="20"/>
                <w:szCs w:val="20"/>
                <w:lang w:eastAsia="hu-HU"/>
              </w:rPr>
            </w:pPr>
            <w:r w:rsidRPr="00B341E9">
              <w:rPr>
                <w:rFonts w:eastAsia="Times New Roman" w:cstheme="minorHAnsi"/>
                <w:color w:val="000000"/>
                <w:sz w:val="20"/>
                <w:szCs w:val="20"/>
                <w:lang w:eastAsia="hu-HU"/>
              </w:rPr>
              <w:t>Harmadik és minden további (0-14 éves) gyermek</w:t>
            </w:r>
          </w:p>
        </w:tc>
        <w:tc>
          <w:tcPr>
            <w:tcW w:w="848" w:type="pct"/>
            <w:tcBorders>
              <w:top w:val="nil"/>
              <w:left w:val="nil"/>
              <w:bottom w:val="nil"/>
              <w:right w:val="nil"/>
            </w:tcBorders>
            <w:shd w:val="clear" w:color="auto" w:fill="auto"/>
            <w:noWrap/>
            <w:vAlign w:val="bottom"/>
            <w:hideMark/>
          </w:tcPr>
          <w:p w:rsidR="00570E12" w:rsidRPr="00B341E9" w:rsidRDefault="00570E12" w:rsidP="00A35D87">
            <w:pPr>
              <w:spacing w:after="0" w:line="240" w:lineRule="auto"/>
              <w:jc w:val="right"/>
              <w:rPr>
                <w:rFonts w:eastAsia="Times New Roman" w:cstheme="minorHAnsi"/>
                <w:color w:val="000000"/>
                <w:sz w:val="20"/>
                <w:szCs w:val="20"/>
                <w:lang w:eastAsia="hu-HU"/>
              </w:rPr>
            </w:pPr>
            <w:r w:rsidRPr="00B341E9">
              <w:rPr>
                <w:rFonts w:eastAsia="Times New Roman" w:cstheme="minorHAnsi"/>
                <w:color w:val="000000"/>
                <w:sz w:val="20"/>
                <w:szCs w:val="20"/>
                <w:lang w:eastAsia="hu-HU"/>
              </w:rPr>
              <w:t>0,40</w:t>
            </w:r>
          </w:p>
        </w:tc>
        <w:tc>
          <w:tcPr>
            <w:tcW w:w="1561" w:type="pct"/>
            <w:tcBorders>
              <w:top w:val="nil"/>
              <w:left w:val="nil"/>
              <w:bottom w:val="nil"/>
              <w:right w:val="nil"/>
            </w:tcBorders>
            <w:shd w:val="clear" w:color="auto" w:fill="auto"/>
            <w:noWrap/>
            <w:vAlign w:val="bottom"/>
            <w:hideMark/>
          </w:tcPr>
          <w:p w:rsidR="00570E12" w:rsidRPr="00B341E9" w:rsidRDefault="00570E12" w:rsidP="00A35D87">
            <w:pPr>
              <w:spacing w:after="0" w:line="240" w:lineRule="auto"/>
              <w:jc w:val="right"/>
              <w:rPr>
                <w:rFonts w:eastAsia="Times New Roman" w:cstheme="minorHAnsi"/>
                <w:color w:val="000000"/>
                <w:sz w:val="20"/>
                <w:szCs w:val="20"/>
                <w:lang w:eastAsia="hu-HU"/>
              </w:rPr>
            </w:pPr>
          </w:p>
          <w:p w:rsidR="00570E12" w:rsidRPr="00B341E9" w:rsidRDefault="00570E12" w:rsidP="00A35D87">
            <w:pPr>
              <w:spacing w:after="0" w:line="240" w:lineRule="auto"/>
              <w:jc w:val="right"/>
              <w:rPr>
                <w:rFonts w:eastAsia="Times New Roman" w:cstheme="minorHAnsi"/>
                <w:color w:val="000000"/>
                <w:sz w:val="20"/>
                <w:szCs w:val="20"/>
                <w:lang w:eastAsia="hu-HU"/>
              </w:rPr>
            </w:pPr>
          </w:p>
          <w:p w:rsidR="00570E12" w:rsidRPr="00B341E9" w:rsidRDefault="00570E12" w:rsidP="00A35D87">
            <w:pPr>
              <w:spacing w:after="0" w:line="240" w:lineRule="auto"/>
              <w:jc w:val="right"/>
              <w:rPr>
                <w:rFonts w:eastAsia="Times New Roman" w:cstheme="minorHAnsi"/>
                <w:color w:val="000000"/>
                <w:sz w:val="20"/>
                <w:szCs w:val="20"/>
                <w:lang w:eastAsia="hu-HU"/>
              </w:rPr>
            </w:pPr>
          </w:p>
          <w:p w:rsidR="00570E12" w:rsidRPr="00B341E9" w:rsidRDefault="00570E12" w:rsidP="00A35D87">
            <w:pPr>
              <w:spacing w:after="0" w:line="240" w:lineRule="auto"/>
              <w:jc w:val="right"/>
              <w:rPr>
                <w:rFonts w:eastAsia="Times New Roman" w:cstheme="minorHAnsi"/>
                <w:color w:val="000000"/>
                <w:sz w:val="20"/>
                <w:szCs w:val="20"/>
                <w:lang w:eastAsia="hu-HU"/>
              </w:rPr>
            </w:pPr>
          </w:p>
        </w:tc>
        <w:tc>
          <w:tcPr>
            <w:tcW w:w="937" w:type="pct"/>
            <w:tcBorders>
              <w:top w:val="nil"/>
              <w:left w:val="nil"/>
              <w:bottom w:val="nil"/>
              <w:right w:val="nil"/>
            </w:tcBorders>
            <w:shd w:val="clear" w:color="auto" w:fill="auto"/>
            <w:noWrap/>
            <w:vAlign w:val="bottom"/>
            <w:hideMark/>
          </w:tcPr>
          <w:p w:rsidR="00570E12" w:rsidRPr="00B341E9" w:rsidRDefault="00570E12" w:rsidP="00A35D87">
            <w:pPr>
              <w:spacing w:after="0" w:line="240" w:lineRule="auto"/>
              <w:rPr>
                <w:rFonts w:eastAsia="Times New Roman" w:cstheme="minorHAnsi"/>
                <w:sz w:val="20"/>
                <w:szCs w:val="20"/>
                <w:lang w:eastAsia="hu-HU"/>
              </w:rPr>
            </w:pPr>
          </w:p>
        </w:tc>
      </w:tr>
    </w:tbl>
    <w:p w:rsidR="00570E12" w:rsidRDefault="00570E12" w:rsidP="00570E12">
      <w:pPr>
        <w:spacing w:line="240" w:lineRule="auto"/>
        <w:jc w:val="both"/>
        <w:rPr>
          <w:rFonts w:cstheme="minorHAnsi"/>
          <w:lang w:eastAsia="hu-HU"/>
        </w:rPr>
      </w:pPr>
    </w:p>
    <w:p w:rsidR="00570E12" w:rsidRPr="00B958BE" w:rsidRDefault="00570E12" w:rsidP="00570E12">
      <w:pPr>
        <w:spacing w:line="276" w:lineRule="auto"/>
        <w:jc w:val="both"/>
        <w:rPr>
          <w:rFonts w:cstheme="minorHAnsi"/>
          <w:b/>
          <w:lang w:eastAsia="hu-HU"/>
        </w:rPr>
      </w:pPr>
      <w:r>
        <w:rPr>
          <w:rFonts w:cstheme="minorHAnsi"/>
          <w:lang w:eastAsia="hu-HU"/>
        </w:rPr>
        <w:t>Mindezek alapján a</w:t>
      </w:r>
      <w:r w:rsidRPr="00B958BE">
        <w:rPr>
          <w:rFonts w:cstheme="minorHAnsi"/>
          <w:lang w:eastAsia="hu-HU"/>
        </w:rPr>
        <w:t xml:space="preserve"> tipikus, azaz </w:t>
      </w:r>
      <w:r w:rsidRPr="00B958BE">
        <w:rPr>
          <w:rFonts w:cstheme="minorHAnsi"/>
          <w:b/>
          <w:lang w:eastAsia="hu-HU"/>
        </w:rPr>
        <w:t xml:space="preserve">két aktív korú személyből és két gyermekből álló háztartás létminimumértéke </w:t>
      </w:r>
      <w:r w:rsidRPr="00570E12">
        <w:rPr>
          <w:rFonts w:cstheme="minorHAnsi"/>
          <w:b/>
          <w:lang w:eastAsia="hu-HU"/>
        </w:rPr>
        <w:t>2</w:t>
      </w:r>
      <w:r w:rsidR="00FE5A62">
        <w:rPr>
          <w:rFonts w:cstheme="minorHAnsi"/>
          <w:b/>
          <w:lang w:eastAsia="hu-HU"/>
        </w:rPr>
        <w:t>94</w:t>
      </w:r>
      <w:r w:rsidRPr="00570E12">
        <w:rPr>
          <w:rFonts w:cstheme="minorHAnsi"/>
          <w:b/>
          <w:lang w:eastAsia="hu-HU"/>
        </w:rPr>
        <w:t xml:space="preserve"> </w:t>
      </w:r>
      <w:r w:rsidR="00FE5A62">
        <w:rPr>
          <w:rFonts w:cstheme="minorHAnsi"/>
          <w:b/>
          <w:lang w:eastAsia="hu-HU"/>
        </w:rPr>
        <w:t>055</w:t>
      </w:r>
      <w:r w:rsidRPr="00570E12">
        <w:rPr>
          <w:rFonts w:cstheme="minorHAnsi"/>
          <w:b/>
          <w:lang w:eastAsia="hu-HU"/>
        </w:rPr>
        <w:t xml:space="preserve"> Ft-nak felelt meg. E háztartásban az egy főre jutó átlagos létminimumérték </w:t>
      </w:r>
      <w:r w:rsidR="00FE5A62">
        <w:rPr>
          <w:rFonts w:cstheme="minorHAnsi"/>
          <w:b/>
          <w:lang w:eastAsia="hu-HU"/>
        </w:rPr>
        <w:t>73 514</w:t>
      </w:r>
      <w:r w:rsidRPr="00B958BE">
        <w:rPr>
          <w:rFonts w:cstheme="minorHAnsi"/>
          <w:b/>
          <w:lang w:eastAsia="hu-HU"/>
        </w:rPr>
        <w:t xml:space="preserve"> Ft volt. </w:t>
      </w:r>
      <w:r w:rsidRPr="00B958BE">
        <w:rPr>
          <w:rFonts w:cstheme="minorHAnsi"/>
          <w:lang w:eastAsia="hu-HU"/>
        </w:rPr>
        <w:t>A különböző háztartástípusokra érvényes egy főre számított értékek 201</w:t>
      </w:r>
      <w:r w:rsidR="00FE5A62">
        <w:rPr>
          <w:rFonts w:cstheme="minorHAnsi"/>
          <w:lang w:eastAsia="hu-HU"/>
        </w:rPr>
        <w:t>9</w:t>
      </w:r>
      <w:r w:rsidRPr="00B958BE">
        <w:rPr>
          <w:rFonts w:cstheme="minorHAnsi"/>
          <w:lang w:eastAsia="hu-HU"/>
        </w:rPr>
        <w:t>-ben</w:t>
      </w:r>
      <w:r>
        <w:rPr>
          <w:rFonts w:cstheme="minorHAnsi"/>
          <w:lang w:eastAsia="hu-HU"/>
        </w:rPr>
        <w:t xml:space="preserve"> </w:t>
      </w:r>
      <w:r w:rsidRPr="00570E12">
        <w:rPr>
          <w:rFonts w:cstheme="minorHAnsi"/>
          <w:lang w:eastAsia="hu-HU"/>
        </w:rPr>
        <w:t>az 58,5 ezer és 94,8 ezer</w:t>
      </w:r>
      <w:r w:rsidRPr="00B958BE">
        <w:rPr>
          <w:rFonts w:cstheme="minorHAnsi"/>
          <w:lang w:eastAsia="hu-HU"/>
        </w:rPr>
        <w:t xml:space="preserve"> Ft közötti sávban szóródtak. </w:t>
      </w:r>
      <w:r w:rsidRPr="00B958BE">
        <w:rPr>
          <w:rFonts w:cstheme="minorHAnsi"/>
          <w:i/>
          <w:lang w:eastAsia="hu-HU"/>
        </w:rPr>
        <w:t xml:space="preserve">(lásd </w:t>
      </w:r>
      <w:r>
        <w:rPr>
          <w:rFonts w:cstheme="minorHAnsi"/>
          <w:i/>
          <w:lang w:eastAsia="hu-HU"/>
        </w:rPr>
        <w:t>4</w:t>
      </w:r>
      <w:r w:rsidRPr="00B958BE">
        <w:rPr>
          <w:rFonts w:cstheme="minorHAnsi"/>
          <w:i/>
          <w:lang w:eastAsia="hu-HU"/>
        </w:rPr>
        <w:t>.sz. tábla)</w:t>
      </w:r>
    </w:p>
    <w:p w:rsidR="00570E12" w:rsidRPr="00B958BE" w:rsidRDefault="00570E12" w:rsidP="00570E12">
      <w:pPr>
        <w:keepNext/>
        <w:keepLines/>
        <w:spacing w:before="240" w:after="0" w:line="276" w:lineRule="auto"/>
        <w:jc w:val="both"/>
        <w:outlineLvl w:val="0"/>
        <w:rPr>
          <w:rFonts w:cstheme="minorHAnsi"/>
          <w:lang w:eastAsia="hu-HU"/>
        </w:rPr>
      </w:pPr>
      <w:r w:rsidRPr="00B958BE">
        <w:rPr>
          <w:rFonts w:cstheme="minorHAnsi"/>
          <w:lang w:eastAsia="hu-HU"/>
        </w:rPr>
        <w:t xml:space="preserve">Az 1–2 személyes háztartások egy főre jutó értékei az átlagosnál nagyobbak, míg a többszemélyesekre kisebb értékek jellemzőek. Ez abból következik, hogy az utóbbiak esetében a rugalmatlan kiadások több személyre oszlanak meg, továbbá, hogy a gyermekek fogyasztása – globális összegét tekintve – a felnőttekénél kisebb. </w:t>
      </w:r>
    </w:p>
    <w:p w:rsidR="00570E12" w:rsidRDefault="00570E12">
      <w:pPr>
        <w:rPr>
          <w:rFonts w:ascii="Calibri" w:eastAsia="Times New Roman" w:hAnsi="Calibri" w:cs="Calibri"/>
          <w:lang w:eastAsia="hu-HU"/>
        </w:rPr>
      </w:pPr>
      <w:r>
        <w:rPr>
          <w:rFonts w:ascii="Calibri" w:eastAsia="Times New Roman" w:hAnsi="Calibri" w:cs="Calibri"/>
          <w:lang w:eastAsia="hu-HU"/>
        </w:rPr>
        <w:br w:type="page"/>
      </w:r>
    </w:p>
    <w:p w:rsidR="00570E12" w:rsidRDefault="00570E12" w:rsidP="00570E12">
      <w:pPr>
        <w:pStyle w:val="Cmsor1"/>
        <w:numPr>
          <w:ilvl w:val="0"/>
          <w:numId w:val="6"/>
        </w:numPr>
        <w:rPr>
          <w:rFonts w:eastAsia="Times New Roman"/>
          <w:lang w:eastAsia="hu-HU"/>
        </w:rPr>
      </w:pPr>
      <w:r w:rsidRPr="00570E12">
        <w:rPr>
          <w:rFonts w:eastAsia="Times New Roman"/>
          <w:lang w:eastAsia="hu-HU"/>
        </w:rPr>
        <w:lastRenderedPageBreak/>
        <w:t>Létminimum alatt élők</w:t>
      </w:r>
    </w:p>
    <w:p w:rsidR="00570E12" w:rsidRPr="00570E12" w:rsidRDefault="00570E12" w:rsidP="00570E12">
      <w:pPr>
        <w:rPr>
          <w:lang w:eastAsia="hu-HU"/>
        </w:rPr>
      </w:pPr>
    </w:p>
    <w:p w:rsidR="00570E12" w:rsidRDefault="00570E12" w:rsidP="00570E12">
      <w:pPr>
        <w:spacing w:line="276" w:lineRule="auto"/>
        <w:jc w:val="both"/>
        <w:rPr>
          <w:rFonts w:ascii="Calibri" w:eastAsia="Times New Roman" w:hAnsi="Calibri" w:cs="Calibri"/>
          <w:lang w:eastAsia="hu-HU"/>
        </w:rPr>
      </w:pPr>
      <w:r>
        <w:rPr>
          <w:rFonts w:ascii="Calibri" w:eastAsia="Times New Roman" w:hAnsi="Calibri" w:cs="Calibri"/>
          <w:lang w:eastAsia="hu-HU"/>
        </w:rPr>
        <w:t xml:space="preserve">Az előzetes adatok alapján nem tudjuk biztonsággal megbecsülni a létminimum környékén élők fogyasztási kiadásainak összetételét. A 2010-2017 közötti tényadatok alapján az várjuk, hogy jelentős átalakulás nem lesz a belső szerkezetben, egy kicsit az élelmiszerár emelkedés miatt várható ezen termékek kiadási arányának növekedése. </w:t>
      </w:r>
    </w:p>
    <w:p w:rsidR="00570E12" w:rsidRDefault="00570E12" w:rsidP="00570E12">
      <w:pPr>
        <w:jc w:val="both"/>
        <w:rPr>
          <w:rFonts w:ascii="Calibri" w:eastAsia="Times New Roman" w:hAnsi="Calibri" w:cs="Calibri"/>
          <w:lang w:eastAsia="hu-HU"/>
        </w:rPr>
      </w:pPr>
    </w:p>
    <w:p w:rsidR="00570E12" w:rsidRPr="00570E12" w:rsidRDefault="00570E12" w:rsidP="00570E12">
      <w:pPr>
        <w:pStyle w:val="Listaszerbekezds"/>
        <w:numPr>
          <w:ilvl w:val="0"/>
          <w:numId w:val="7"/>
        </w:numPr>
        <w:rPr>
          <w:rFonts w:ascii="Calibri" w:hAnsi="Calibri" w:cs="Calibri"/>
          <w:i/>
        </w:rPr>
      </w:pPr>
      <w:r w:rsidRPr="00570E12">
        <w:rPr>
          <w:rFonts w:ascii="Calibri" w:eastAsia="Times New Roman" w:hAnsi="Calibri" w:cs="Calibri"/>
          <w:i/>
          <w:lang w:eastAsia="hu-HU"/>
        </w:rPr>
        <w:t xml:space="preserve">grafikon: </w:t>
      </w:r>
      <w:r w:rsidRPr="00570E12">
        <w:rPr>
          <w:rFonts w:ascii="Calibri" w:eastAsia="Times New Roman" w:hAnsi="Calibri" w:cs="Calibri"/>
          <w:bCs/>
          <w:i/>
        </w:rPr>
        <w:t>Létminimum környékén élők kiadásainak aránya</w:t>
      </w:r>
    </w:p>
    <w:p w:rsidR="007713C3" w:rsidRDefault="007713C3" w:rsidP="00A53D62">
      <w:pPr>
        <w:rPr>
          <w:rFonts w:ascii="Calibri" w:eastAsia="Times New Roman" w:hAnsi="Calibri" w:cs="Calibri"/>
          <w:lang w:eastAsia="hu-HU"/>
        </w:rPr>
      </w:pPr>
      <w:r w:rsidRPr="007713C3">
        <w:rPr>
          <w:noProof/>
          <w:lang w:eastAsia="hu-HU"/>
        </w:rPr>
        <w:t xml:space="preserve"> </w:t>
      </w:r>
      <w:r>
        <w:rPr>
          <w:noProof/>
          <w:lang w:eastAsia="hu-HU"/>
        </w:rPr>
        <w:drawing>
          <wp:inline distT="0" distB="0" distL="0" distR="0" wp14:anchorId="21A1E6F5" wp14:editId="44AC42C9">
            <wp:extent cx="5267325" cy="3290888"/>
            <wp:effectExtent l="0" t="0" r="9525" b="508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3D62" w:rsidRDefault="00A53D62" w:rsidP="00A53D62">
      <w:pPr>
        <w:rPr>
          <w:rFonts w:ascii="Calibri" w:eastAsia="Times New Roman" w:hAnsi="Calibri" w:cs="Calibri"/>
          <w:lang w:eastAsia="hu-HU"/>
        </w:rPr>
      </w:pPr>
    </w:p>
    <w:p w:rsidR="00570E12" w:rsidRDefault="00570E12" w:rsidP="00570E12">
      <w:pPr>
        <w:spacing w:line="276" w:lineRule="auto"/>
        <w:rPr>
          <w:rFonts w:ascii="Calibri" w:eastAsia="Times New Roman" w:hAnsi="Calibri" w:cs="Calibri"/>
          <w:lang w:eastAsia="hu-HU"/>
        </w:rPr>
      </w:pPr>
      <w:r>
        <w:rPr>
          <w:rFonts w:ascii="Calibri" w:eastAsia="Times New Roman" w:hAnsi="Calibri" w:cs="Calibri"/>
          <w:lang w:eastAsia="hu-HU"/>
        </w:rPr>
        <w:t>Ugyancsak a KSH adatbázis kutathatóvá tételét követően tudunk csak a végleges létminimumadattal együtt arra vonatkozó adatot közölni, hogy hány ember él olyan háztartásban, amelyek létminimum alatti összeg a bevételük.</w:t>
      </w:r>
    </w:p>
    <w:p w:rsidR="00570E12" w:rsidRDefault="00570E12">
      <w:pPr>
        <w:rPr>
          <w:rFonts w:ascii="Calibri" w:eastAsia="Times New Roman" w:hAnsi="Calibri" w:cs="Calibri"/>
          <w:lang w:eastAsia="hu-HU"/>
        </w:rPr>
      </w:pPr>
      <w:r>
        <w:rPr>
          <w:rFonts w:ascii="Calibri" w:eastAsia="Times New Roman" w:hAnsi="Calibri" w:cs="Calibri"/>
          <w:lang w:eastAsia="hu-HU"/>
        </w:rPr>
        <w:br w:type="page"/>
      </w:r>
    </w:p>
    <w:p w:rsidR="00570E12" w:rsidRDefault="00570E12" w:rsidP="00A53D62">
      <w:pPr>
        <w:rPr>
          <w:rFonts w:ascii="Calibri" w:eastAsia="Times New Roman" w:hAnsi="Calibri" w:cs="Calibri"/>
          <w:lang w:eastAsia="hu-HU"/>
        </w:rPr>
      </w:pPr>
    </w:p>
    <w:p w:rsidR="00570E12" w:rsidRDefault="00570E12" w:rsidP="00570E12">
      <w:pPr>
        <w:pStyle w:val="Cmsor1"/>
        <w:numPr>
          <w:ilvl w:val="0"/>
          <w:numId w:val="6"/>
        </w:numPr>
        <w:rPr>
          <w:rFonts w:eastAsia="Times New Roman"/>
          <w:lang w:eastAsia="hu-HU"/>
        </w:rPr>
      </w:pPr>
      <w:r>
        <w:rPr>
          <w:rFonts w:eastAsia="Times New Roman"/>
          <w:lang w:eastAsia="hu-HU"/>
        </w:rPr>
        <w:t>Társadalmi minimum előzetes adatok</w:t>
      </w:r>
    </w:p>
    <w:p w:rsidR="00570E12" w:rsidRPr="00570E12" w:rsidRDefault="00570E12" w:rsidP="00570E12">
      <w:pPr>
        <w:rPr>
          <w:lang w:eastAsia="hu-HU"/>
        </w:rPr>
      </w:pPr>
    </w:p>
    <w:p w:rsidR="00570E12" w:rsidRDefault="00570E12" w:rsidP="00570E12">
      <w:pPr>
        <w:spacing w:line="276" w:lineRule="auto"/>
        <w:jc w:val="both"/>
      </w:pPr>
      <w:r>
        <w:rPr>
          <w:rFonts w:ascii="Calibri" w:eastAsia="Times New Roman" w:hAnsi="Calibri" w:cs="Calibri"/>
          <w:lang w:eastAsia="hu-HU"/>
        </w:rPr>
        <w:t>2018-ban közöltük első alkalommal a létminimumon túl a társadalmi minimum összegét. Ez a</w:t>
      </w:r>
      <w:r w:rsidRPr="00E6719B">
        <w:rPr>
          <w:rFonts w:cstheme="minorHAnsi"/>
          <w:lang w:eastAsia="hu-HU"/>
        </w:rPr>
        <w:t>z</w:t>
      </w:r>
      <w:r>
        <w:rPr>
          <w:rFonts w:cstheme="minorHAnsi"/>
          <w:lang w:eastAsia="hu-HU"/>
        </w:rPr>
        <w:t>t az</w:t>
      </w:r>
      <w:r w:rsidRPr="00E6719B">
        <w:rPr>
          <w:rFonts w:cstheme="minorHAnsi"/>
          <w:lang w:eastAsia="hu-HU"/>
        </w:rPr>
        <w:t xml:space="preserve"> értéket fejezi ki, </w:t>
      </w:r>
      <w:r>
        <w:rPr>
          <w:rFonts w:cstheme="minorHAnsi"/>
          <w:lang w:eastAsia="hu-HU"/>
        </w:rPr>
        <w:t xml:space="preserve">amely </w:t>
      </w:r>
      <w:r>
        <w:t xml:space="preserve">szerény fogyasztási szintet jelent, az alapvető szükségletek kielégítésén felül, racionális gazdálkodás mellett olyan javak és szolgáltatások fogyasztására nyújt lehetőséget, amelyek a gazdasági, társadalmi, kulturális fejlettség adott szintjén már tömegigénnyé váltak. Ez a minimum némi átcsoportosítási, </w:t>
      </w:r>
      <w:r w:rsidRPr="00E6719B">
        <w:t>tartalék lehetőséget</w:t>
      </w:r>
      <w:r>
        <w:t xml:space="preserve"> is ad rendkívüli esetekre.</w:t>
      </w:r>
    </w:p>
    <w:p w:rsidR="00570E12" w:rsidRDefault="00570E12" w:rsidP="00570E12">
      <w:pPr>
        <w:keepNext/>
        <w:keepLines/>
        <w:spacing w:before="240" w:after="0" w:line="276" w:lineRule="auto"/>
        <w:jc w:val="both"/>
        <w:outlineLvl w:val="0"/>
        <w:rPr>
          <w:rFonts w:cstheme="minorHAnsi"/>
          <w:b/>
          <w:lang w:eastAsia="hu-HU"/>
        </w:rPr>
      </w:pPr>
      <w:r>
        <w:t>A létminimum előzetes adatból kiindulva a társadalmi minimum összege 201</w:t>
      </w:r>
      <w:r w:rsidR="00FE5A62">
        <w:t>9</w:t>
      </w:r>
      <w:r>
        <w:t>-b</w:t>
      </w:r>
      <w:r w:rsidR="00FE5A62">
        <w:t>e</w:t>
      </w:r>
      <w:r>
        <w:t xml:space="preserve">n </w:t>
      </w:r>
      <w:r w:rsidRPr="00383CFE">
        <w:rPr>
          <w:rFonts w:cstheme="minorHAnsi"/>
          <w:b/>
          <w:lang w:eastAsia="hu-HU"/>
        </w:rPr>
        <w:t xml:space="preserve">egy fogyasztási egységre számított átlagos értéke havonta </w:t>
      </w:r>
      <w:r>
        <w:rPr>
          <w:rFonts w:cstheme="minorHAnsi"/>
          <w:b/>
          <w:lang w:eastAsia="hu-HU"/>
        </w:rPr>
        <w:t>12</w:t>
      </w:r>
      <w:r w:rsidR="00FE5A62">
        <w:rPr>
          <w:rFonts w:cstheme="minorHAnsi"/>
          <w:b/>
          <w:lang w:eastAsia="hu-HU"/>
        </w:rPr>
        <w:t>9</w:t>
      </w:r>
      <w:r w:rsidRPr="00383CFE">
        <w:rPr>
          <w:rFonts w:cstheme="minorHAnsi"/>
          <w:b/>
          <w:lang w:eastAsia="hu-HU"/>
        </w:rPr>
        <w:t xml:space="preserve"> </w:t>
      </w:r>
      <w:r w:rsidR="00FE5A62">
        <w:rPr>
          <w:rFonts w:cstheme="minorHAnsi"/>
          <w:b/>
          <w:lang w:eastAsia="hu-HU"/>
        </w:rPr>
        <w:t>800</w:t>
      </w:r>
      <w:r w:rsidRPr="00383CFE">
        <w:rPr>
          <w:rFonts w:cstheme="minorHAnsi"/>
          <w:b/>
          <w:lang w:eastAsia="hu-HU"/>
        </w:rPr>
        <w:t xml:space="preserve"> Ft volt.</w:t>
      </w:r>
    </w:p>
    <w:p w:rsidR="00570E12" w:rsidRDefault="00570E12" w:rsidP="00570E12">
      <w:pPr>
        <w:spacing w:line="276" w:lineRule="auto"/>
        <w:jc w:val="both"/>
      </w:pPr>
      <w:r w:rsidRPr="00383CFE">
        <w:rPr>
          <w:rFonts w:cstheme="minorHAnsi"/>
          <w:lang w:eastAsia="hu-HU"/>
        </w:rPr>
        <w:t xml:space="preserve">A háztartástípusonkénti létminimum-értékeket a fogyasztási egységek háztartástípusonkénti száma és az egy fogyasztási egységre számított átlagos érték szorzata adja. A tipikus, azaz </w:t>
      </w:r>
      <w:r w:rsidRPr="00383CFE">
        <w:rPr>
          <w:rFonts w:cstheme="minorHAnsi"/>
          <w:b/>
          <w:lang w:eastAsia="hu-HU"/>
        </w:rPr>
        <w:t>két aktív korú személyből és két gyermekből álló háztartás létminimumértéke 3</w:t>
      </w:r>
      <w:r>
        <w:rPr>
          <w:rFonts w:cstheme="minorHAnsi"/>
          <w:b/>
          <w:lang w:eastAsia="hu-HU"/>
        </w:rPr>
        <w:t>51</w:t>
      </w:r>
      <w:r w:rsidRPr="00383CFE">
        <w:rPr>
          <w:rFonts w:cstheme="minorHAnsi"/>
          <w:b/>
          <w:lang w:eastAsia="hu-HU"/>
        </w:rPr>
        <w:t> </w:t>
      </w:r>
      <w:r>
        <w:rPr>
          <w:rFonts w:cstheme="minorHAnsi"/>
          <w:b/>
          <w:lang w:eastAsia="hu-HU"/>
        </w:rPr>
        <w:t>915</w:t>
      </w:r>
      <w:r w:rsidRPr="00383CFE">
        <w:rPr>
          <w:rFonts w:cstheme="minorHAnsi"/>
          <w:b/>
          <w:lang w:eastAsia="hu-HU"/>
        </w:rPr>
        <w:t xml:space="preserve"> Ft-nak felelt meg.</w:t>
      </w:r>
    </w:p>
    <w:p w:rsidR="00570E12" w:rsidRPr="00570E12" w:rsidRDefault="00570E12" w:rsidP="00570E12">
      <w:pPr>
        <w:rPr>
          <w:rFonts w:ascii="Calibri" w:eastAsia="Times New Roman" w:hAnsi="Calibri" w:cs="Calibri"/>
          <w:lang w:eastAsia="hu-HU"/>
        </w:rPr>
      </w:pPr>
    </w:p>
    <w:p w:rsidR="007713C3" w:rsidRDefault="007713C3" w:rsidP="00A53D62">
      <w:pPr>
        <w:rPr>
          <w:rFonts w:ascii="Calibri" w:eastAsia="Times New Roman" w:hAnsi="Calibri" w:cs="Calibri"/>
          <w:lang w:eastAsia="hu-HU"/>
        </w:rPr>
      </w:pPr>
    </w:p>
    <w:p w:rsidR="00570E12" w:rsidRDefault="00570E12">
      <w:r>
        <w:br w:type="page"/>
      </w:r>
    </w:p>
    <w:tbl>
      <w:tblPr>
        <w:tblW w:w="6560" w:type="pct"/>
        <w:tblLayout w:type="fixed"/>
        <w:tblCellMar>
          <w:left w:w="70" w:type="dxa"/>
          <w:right w:w="70" w:type="dxa"/>
        </w:tblCellMar>
        <w:tblLook w:val="04A0" w:firstRow="1" w:lastRow="0" w:firstColumn="1" w:lastColumn="0" w:noHBand="0" w:noVBand="1"/>
      </w:tblPr>
      <w:tblGrid>
        <w:gridCol w:w="1985"/>
        <w:gridCol w:w="1135"/>
        <w:gridCol w:w="993"/>
        <w:gridCol w:w="990"/>
        <w:gridCol w:w="997"/>
        <w:gridCol w:w="1269"/>
        <w:gridCol w:w="1707"/>
        <w:gridCol w:w="1269"/>
        <w:gridCol w:w="1557"/>
      </w:tblGrid>
      <w:tr w:rsidR="00570E12" w:rsidRPr="007B1241" w:rsidTr="00570E12">
        <w:trPr>
          <w:gridAfter w:val="2"/>
          <w:wAfter w:w="1187" w:type="pct"/>
          <w:trHeight w:val="300"/>
        </w:trPr>
        <w:tc>
          <w:tcPr>
            <w:tcW w:w="3813" w:type="pct"/>
            <w:gridSpan w:val="7"/>
            <w:tcBorders>
              <w:top w:val="nil"/>
              <w:left w:val="nil"/>
              <w:bottom w:val="nil"/>
              <w:right w:val="nil"/>
            </w:tcBorders>
            <w:shd w:val="clear" w:color="auto" w:fill="auto"/>
            <w:noWrap/>
            <w:vAlign w:val="bottom"/>
            <w:hideMark/>
          </w:tcPr>
          <w:p w:rsidR="00570E12" w:rsidRPr="00570E12" w:rsidRDefault="00570E12" w:rsidP="00570E12">
            <w:pPr>
              <w:pStyle w:val="Listaszerbekezds"/>
              <w:numPr>
                <w:ilvl w:val="0"/>
                <w:numId w:val="5"/>
              </w:numPr>
              <w:spacing w:after="0" w:line="240" w:lineRule="auto"/>
              <w:jc w:val="right"/>
              <w:rPr>
                <w:rStyle w:val="Kiemels2"/>
                <w:sz w:val="24"/>
                <w:szCs w:val="24"/>
                <w:lang w:eastAsia="hu-HU"/>
              </w:rPr>
            </w:pPr>
            <w:r w:rsidRPr="00570E12">
              <w:rPr>
                <w:rStyle w:val="Kiemels2"/>
                <w:sz w:val="24"/>
                <w:szCs w:val="24"/>
              </w:rPr>
              <w:lastRenderedPageBreak/>
              <w:t xml:space="preserve">tábla      </w:t>
            </w:r>
          </w:p>
          <w:p w:rsidR="00570E12" w:rsidRPr="007B1241" w:rsidRDefault="00570E12" w:rsidP="00A35D87">
            <w:pPr>
              <w:pStyle w:val="Listaszerbekezds"/>
              <w:spacing w:after="0" w:line="240" w:lineRule="auto"/>
              <w:ind w:left="1440"/>
              <w:rPr>
                <w:rStyle w:val="Kiemels2"/>
                <w:sz w:val="24"/>
                <w:szCs w:val="24"/>
                <w:lang w:eastAsia="hu-HU"/>
              </w:rPr>
            </w:pPr>
          </w:p>
          <w:p w:rsidR="00570E12" w:rsidRPr="007B1241" w:rsidRDefault="00570E12" w:rsidP="00A35D87">
            <w:pPr>
              <w:pStyle w:val="Listaszerbekezds"/>
              <w:spacing w:after="0" w:line="240" w:lineRule="auto"/>
              <w:ind w:left="1440"/>
              <w:rPr>
                <w:rStyle w:val="Kiemels2"/>
                <w:sz w:val="24"/>
                <w:szCs w:val="24"/>
                <w:lang w:eastAsia="hu-HU"/>
              </w:rPr>
            </w:pPr>
            <w:r w:rsidRPr="007B1241">
              <w:rPr>
                <w:rStyle w:val="Kiemels2"/>
                <w:sz w:val="24"/>
                <w:szCs w:val="24"/>
                <w:lang w:eastAsia="hu-HU"/>
              </w:rPr>
              <w:t>Létminimu</w:t>
            </w:r>
            <w:r w:rsidRPr="007B1241">
              <w:rPr>
                <w:rStyle w:val="Kiemels2"/>
                <w:sz w:val="24"/>
                <w:szCs w:val="24"/>
              </w:rPr>
              <w:t>m</w:t>
            </w:r>
            <w:r w:rsidRPr="007B1241">
              <w:rPr>
                <w:rStyle w:val="Kiemels2"/>
                <w:sz w:val="24"/>
                <w:szCs w:val="24"/>
                <w:lang w:eastAsia="hu-HU"/>
              </w:rPr>
              <w:t>értékek a különböző ház</w:t>
            </w:r>
            <w:r w:rsidRPr="007B1241">
              <w:rPr>
                <w:rStyle w:val="Kiemels2"/>
                <w:sz w:val="24"/>
                <w:szCs w:val="24"/>
              </w:rPr>
              <w:t>t</w:t>
            </w:r>
            <w:r w:rsidRPr="007B1241">
              <w:rPr>
                <w:rStyle w:val="Kiemels2"/>
                <w:sz w:val="24"/>
                <w:szCs w:val="24"/>
                <w:lang w:eastAsia="hu-HU"/>
              </w:rPr>
              <w:t>artástípusokban, 201</w:t>
            </w:r>
            <w:r w:rsidR="008C6770">
              <w:rPr>
                <w:rStyle w:val="Kiemels2"/>
                <w:sz w:val="24"/>
                <w:szCs w:val="24"/>
                <w:lang w:eastAsia="hu-HU"/>
              </w:rPr>
              <w:t>9</w:t>
            </w:r>
          </w:p>
          <w:p w:rsidR="00570E12" w:rsidRPr="007B1241" w:rsidRDefault="00570E12" w:rsidP="00A35D87">
            <w:pPr>
              <w:spacing w:after="0" w:line="240" w:lineRule="auto"/>
              <w:jc w:val="right"/>
              <w:rPr>
                <w:rStyle w:val="Kiemels2"/>
                <w:lang w:eastAsia="hu-HU"/>
              </w:rPr>
            </w:pPr>
            <w:r w:rsidRPr="007B1241">
              <w:rPr>
                <w:rStyle w:val="Kiemels2"/>
                <w:sz w:val="18"/>
                <w:szCs w:val="18"/>
              </w:rPr>
              <w:t>(forint/hó)</w:t>
            </w:r>
          </w:p>
        </w:tc>
      </w:tr>
      <w:tr w:rsidR="00570E12" w:rsidRPr="007B1241" w:rsidTr="00570E12">
        <w:trPr>
          <w:trHeight w:val="300"/>
        </w:trPr>
        <w:tc>
          <w:tcPr>
            <w:tcW w:w="834" w:type="pct"/>
            <w:tcBorders>
              <w:top w:val="nil"/>
              <w:left w:val="nil"/>
              <w:bottom w:val="single" w:sz="4" w:space="0" w:color="auto"/>
              <w:right w:val="nil"/>
            </w:tcBorders>
            <w:shd w:val="clear" w:color="auto" w:fill="auto"/>
            <w:noWrap/>
            <w:vAlign w:val="bottom"/>
            <w:hideMark/>
          </w:tcPr>
          <w:p w:rsidR="00570E12" w:rsidRPr="007B1241" w:rsidRDefault="00570E12" w:rsidP="00A35D87">
            <w:pPr>
              <w:spacing w:after="0" w:line="240" w:lineRule="auto"/>
              <w:rPr>
                <w:rFonts w:eastAsia="Times New Roman" w:cs="Times New Roman"/>
                <w:sz w:val="24"/>
                <w:szCs w:val="24"/>
                <w:lang w:eastAsia="hu-HU"/>
              </w:rPr>
            </w:pPr>
          </w:p>
        </w:tc>
        <w:tc>
          <w:tcPr>
            <w:tcW w:w="477" w:type="pct"/>
            <w:tcBorders>
              <w:top w:val="nil"/>
              <w:left w:val="nil"/>
              <w:bottom w:val="nil"/>
              <w:right w:val="nil"/>
            </w:tcBorders>
            <w:shd w:val="clear" w:color="auto" w:fill="auto"/>
            <w:noWrap/>
            <w:vAlign w:val="bottom"/>
            <w:hideMark/>
          </w:tcPr>
          <w:p w:rsidR="00570E12" w:rsidRPr="007B1241" w:rsidRDefault="00570E12" w:rsidP="00A35D87">
            <w:pPr>
              <w:spacing w:after="0" w:line="240" w:lineRule="auto"/>
              <w:rPr>
                <w:rFonts w:eastAsia="Times New Roman" w:cs="Times New Roman"/>
                <w:sz w:val="24"/>
                <w:szCs w:val="24"/>
                <w:lang w:eastAsia="hu-HU"/>
              </w:rPr>
            </w:pPr>
          </w:p>
        </w:tc>
        <w:tc>
          <w:tcPr>
            <w:tcW w:w="417" w:type="pct"/>
            <w:tcBorders>
              <w:top w:val="nil"/>
              <w:left w:val="nil"/>
              <w:bottom w:val="nil"/>
              <w:right w:val="nil"/>
            </w:tcBorders>
            <w:shd w:val="clear" w:color="auto" w:fill="auto"/>
            <w:noWrap/>
            <w:vAlign w:val="bottom"/>
            <w:hideMark/>
          </w:tcPr>
          <w:p w:rsidR="00570E12" w:rsidRPr="007B1241" w:rsidRDefault="00570E12" w:rsidP="00A35D87">
            <w:pPr>
              <w:spacing w:after="0" w:line="240" w:lineRule="auto"/>
              <w:rPr>
                <w:rFonts w:eastAsia="Times New Roman" w:cs="Times New Roman"/>
                <w:sz w:val="24"/>
                <w:szCs w:val="24"/>
                <w:lang w:eastAsia="hu-HU"/>
              </w:rPr>
            </w:pPr>
          </w:p>
        </w:tc>
        <w:tc>
          <w:tcPr>
            <w:tcW w:w="416" w:type="pct"/>
            <w:tcBorders>
              <w:top w:val="nil"/>
              <w:left w:val="nil"/>
              <w:bottom w:val="nil"/>
              <w:right w:val="nil"/>
            </w:tcBorders>
            <w:shd w:val="clear" w:color="auto" w:fill="auto"/>
            <w:noWrap/>
            <w:vAlign w:val="bottom"/>
            <w:hideMark/>
          </w:tcPr>
          <w:p w:rsidR="00570E12" w:rsidRPr="007B1241" w:rsidRDefault="00570E12" w:rsidP="00A35D87">
            <w:pPr>
              <w:spacing w:after="0" w:line="240" w:lineRule="auto"/>
              <w:rPr>
                <w:rFonts w:eastAsia="Times New Roman" w:cs="Times New Roman"/>
                <w:sz w:val="24"/>
                <w:szCs w:val="24"/>
                <w:lang w:eastAsia="hu-HU"/>
              </w:rPr>
            </w:pPr>
          </w:p>
        </w:tc>
        <w:tc>
          <w:tcPr>
            <w:tcW w:w="1669" w:type="pct"/>
            <w:gridSpan w:val="3"/>
            <w:tcBorders>
              <w:top w:val="nil"/>
              <w:left w:val="nil"/>
              <w:bottom w:val="nil"/>
              <w:right w:val="nil"/>
            </w:tcBorders>
            <w:shd w:val="clear" w:color="auto" w:fill="auto"/>
            <w:noWrap/>
            <w:vAlign w:val="bottom"/>
            <w:hideMark/>
          </w:tcPr>
          <w:p w:rsidR="00570E12" w:rsidRPr="007B1241" w:rsidRDefault="00570E12" w:rsidP="00A35D87">
            <w:pPr>
              <w:spacing w:after="0" w:line="240" w:lineRule="auto"/>
              <w:rPr>
                <w:rFonts w:eastAsia="Times New Roman" w:cs="Times New Roman"/>
                <w:sz w:val="24"/>
                <w:szCs w:val="24"/>
                <w:lang w:eastAsia="hu-HU"/>
              </w:rPr>
            </w:pPr>
          </w:p>
        </w:tc>
        <w:tc>
          <w:tcPr>
            <w:tcW w:w="533" w:type="pct"/>
            <w:tcBorders>
              <w:top w:val="nil"/>
              <w:left w:val="nil"/>
              <w:bottom w:val="nil"/>
              <w:right w:val="nil"/>
            </w:tcBorders>
            <w:shd w:val="clear" w:color="auto" w:fill="auto"/>
            <w:noWrap/>
            <w:vAlign w:val="bottom"/>
            <w:hideMark/>
          </w:tcPr>
          <w:p w:rsidR="00570E12" w:rsidRPr="007B1241" w:rsidRDefault="00570E12" w:rsidP="00A35D87">
            <w:pPr>
              <w:spacing w:after="0" w:line="240" w:lineRule="auto"/>
              <w:rPr>
                <w:rFonts w:eastAsia="Times New Roman" w:cs="Times New Roman"/>
                <w:sz w:val="24"/>
                <w:szCs w:val="24"/>
                <w:lang w:eastAsia="hu-HU"/>
              </w:rPr>
            </w:pPr>
          </w:p>
        </w:tc>
        <w:tc>
          <w:tcPr>
            <w:tcW w:w="654" w:type="pct"/>
            <w:tcBorders>
              <w:top w:val="nil"/>
              <w:left w:val="nil"/>
              <w:bottom w:val="single" w:sz="4" w:space="0" w:color="auto"/>
              <w:right w:val="nil"/>
            </w:tcBorders>
            <w:shd w:val="clear" w:color="auto" w:fill="auto"/>
            <w:noWrap/>
            <w:vAlign w:val="bottom"/>
            <w:hideMark/>
          </w:tcPr>
          <w:p w:rsidR="00570E12" w:rsidRPr="007B1241" w:rsidRDefault="00570E12" w:rsidP="00A35D87">
            <w:pPr>
              <w:spacing w:after="0" w:line="240" w:lineRule="auto"/>
              <w:rPr>
                <w:rFonts w:eastAsia="Times New Roman" w:cs="Times New Roman"/>
                <w:sz w:val="24"/>
                <w:szCs w:val="24"/>
                <w:lang w:eastAsia="hu-HU"/>
              </w:rPr>
            </w:pPr>
          </w:p>
        </w:tc>
      </w:tr>
      <w:tr w:rsidR="00570E12" w:rsidRPr="007B1241" w:rsidTr="00570E12">
        <w:trPr>
          <w:gridAfter w:val="2"/>
          <w:wAfter w:w="1187" w:type="pct"/>
          <w:trHeight w:val="300"/>
        </w:trPr>
        <w:tc>
          <w:tcPr>
            <w:tcW w:w="834" w:type="pct"/>
            <w:vMerge w:val="restart"/>
            <w:tcBorders>
              <w:top w:val="single" w:sz="4" w:space="0" w:color="auto"/>
              <w:bottom w:val="single" w:sz="4" w:space="0" w:color="auto"/>
              <w:right w:val="single" w:sz="4" w:space="0" w:color="auto"/>
            </w:tcBorders>
            <w:shd w:val="clear" w:color="auto" w:fill="auto"/>
            <w:noWrap/>
            <w:vAlign w:val="center"/>
            <w:hideMark/>
          </w:tcPr>
          <w:p w:rsidR="00570E12" w:rsidRPr="007B1241" w:rsidRDefault="00570E12" w:rsidP="00A35D87">
            <w:pPr>
              <w:spacing w:after="0" w:line="240" w:lineRule="auto"/>
              <w:jc w:val="center"/>
              <w:rPr>
                <w:rFonts w:eastAsia="Times New Roman" w:cs="Times New Roman"/>
                <w:b/>
                <w:sz w:val="20"/>
                <w:szCs w:val="20"/>
                <w:lang w:eastAsia="hu-HU"/>
              </w:rPr>
            </w:pPr>
            <w:r w:rsidRPr="007B1241">
              <w:rPr>
                <w:rFonts w:eastAsia="Times New Roman" w:cs="Times New Roman"/>
                <w:b/>
                <w:sz w:val="20"/>
                <w:szCs w:val="20"/>
                <w:lang w:eastAsia="hu-HU"/>
              </w:rPr>
              <w:t>Háztartástípusok</w:t>
            </w:r>
          </w:p>
        </w:tc>
        <w:tc>
          <w:tcPr>
            <w:tcW w:w="89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570E12" w:rsidRPr="007B1241" w:rsidRDefault="00570E12" w:rsidP="00A35D87">
            <w:pPr>
              <w:spacing w:after="0" w:line="240" w:lineRule="auto"/>
              <w:jc w:val="center"/>
              <w:rPr>
                <w:rFonts w:eastAsia="Times New Roman" w:cs="Times New Roman"/>
                <w:b/>
                <w:sz w:val="20"/>
                <w:szCs w:val="20"/>
                <w:lang w:eastAsia="hu-HU"/>
              </w:rPr>
            </w:pPr>
            <w:r w:rsidRPr="007B1241">
              <w:rPr>
                <w:rFonts w:eastAsia="Times New Roman" w:cs="Times New Roman"/>
                <w:b/>
                <w:sz w:val="20"/>
                <w:szCs w:val="20"/>
                <w:lang w:eastAsia="hu-HU"/>
              </w:rPr>
              <w:t>Egy háztartásra</w:t>
            </w:r>
          </w:p>
        </w:tc>
        <w:tc>
          <w:tcPr>
            <w:tcW w:w="83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570E12" w:rsidRPr="007B1241" w:rsidRDefault="00570E12" w:rsidP="00A35D87">
            <w:pPr>
              <w:spacing w:after="0" w:line="240" w:lineRule="auto"/>
              <w:jc w:val="center"/>
              <w:rPr>
                <w:rFonts w:eastAsia="Times New Roman" w:cs="Times New Roman"/>
                <w:b/>
                <w:sz w:val="20"/>
                <w:szCs w:val="20"/>
                <w:lang w:eastAsia="hu-HU"/>
              </w:rPr>
            </w:pPr>
            <w:r w:rsidRPr="007B1241">
              <w:rPr>
                <w:rFonts w:eastAsia="Times New Roman" w:cs="Times New Roman"/>
                <w:b/>
                <w:sz w:val="20"/>
                <w:szCs w:val="20"/>
                <w:lang w:eastAsia="hu-HU"/>
              </w:rPr>
              <w:t>Egy főre</w:t>
            </w:r>
          </w:p>
        </w:tc>
        <w:tc>
          <w:tcPr>
            <w:tcW w:w="5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0E12" w:rsidRPr="007B1241" w:rsidRDefault="00570E12" w:rsidP="00A35D87">
            <w:pPr>
              <w:spacing w:after="0" w:line="240" w:lineRule="auto"/>
              <w:jc w:val="center"/>
              <w:rPr>
                <w:rFonts w:eastAsia="Times New Roman" w:cs="Times New Roman"/>
                <w:b/>
                <w:sz w:val="20"/>
                <w:szCs w:val="20"/>
                <w:lang w:eastAsia="hu-HU"/>
              </w:rPr>
            </w:pPr>
            <w:r w:rsidRPr="007B1241">
              <w:rPr>
                <w:rFonts w:eastAsia="Times New Roman" w:cs="Times New Roman"/>
                <w:b/>
                <w:sz w:val="20"/>
                <w:szCs w:val="20"/>
                <w:lang w:eastAsia="hu-HU"/>
              </w:rPr>
              <w:t>Létminimum/élelmiszer-arány</w:t>
            </w:r>
          </w:p>
        </w:tc>
        <w:tc>
          <w:tcPr>
            <w:tcW w:w="717" w:type="pct"/>
            <w:vMerge w:val="restart"/>
            <w:tcBorders>
              <w:top w:val="single" w:sz="4" w:space="0" w:color="auto"/>
              <w:left w:val="single" w:sz="4" w:space="0" w:color="auto"/>
              <w:bottom w:val="single" w:sz="4" w:space="0" w:color="auto"/>
            </w:tcBorders>
            <w:shd w:val="clear" w:color="auto" w:fill="auto"/>
            <w:vAlign w:val="center"/>
            <w:hideMark/>
          </w:tcPr>
          <w:p w:rsidR="00570E12" w:rsidRPr="007B1241" w:rsidRDefault="00570E12" w:rsidP="00A35D87">
            <w:pPr>
              <w:spacing w:after="0" w:line="240" w:lineRule="auto"/>
              <w:jc w:val="center"/>
              <w:rPr>
                <w:rFonts w:eastAsia="Times New Roman" w:cs="Times New Roman"/>
                <w:b/>
                <w:sz w:val="20"/>
                <w:szCs w:val="20"/>
                <w:lang w:eastAsia="hu-HU"/>
              </w:rPr>
            </w:pPr>
            <w:r w:rsidRPr="007B1241">
              <w:rPr>
                <w:rFonts w:eastAsia="Times New Roman" w:cs="Times New Roman"/>
                <w:b/>
                <w:sz w:val="20"/>
                <w:szCs w:val="20"/>
                <w:lang w:eastAsia="hu-HU"/>
              </w:rPr>
              <w:t>Fogyasztási egységek száma</w:t>
            </w:r>
          </w:p>
        </w:tc>
      </w:tr>
      <w:tr w:rsidR="00570E12" w:rsidRPr="007B1241" w:rsidTr="00570E12">
        <w:trPr>
          <w:gridAfter w:val="2"/>
          <w:wAfter w:w="1187" w:type="pct"/>
          <w:trHeight w:val="300"/>
        </w:trPr>
        <w:tc>
          <w:tcPr>
            <w:tcW w:w="834" w:type="pct"/>
            <w:vMerge/>
            <w:tcBorders>
              <w:top w:val="single" w:sz="4" w:space="0" w:color="000000"/>
              <w:bottom w:val="single" w:sz="4" w:space="0" w:color="auto"/>
              <w:right w:val="single" w:sz="4" w:space="0" w:color="auto"/>
            </w:tcBorders>
            <w:vAlign w:val="center"/>
            <w:hideMark/>
          </w:tcPr>
          <w:p w:rsidR="00570E12" w:rsidRPr="007B1241" w:rsidRDefault="00570E12" w:rsidP="00A35D87">
            <w:pPr>
              <w:spacing w:after="0" w:line="240" w:lineRule="auto"/>
              <w:rPr>
                <w:rFonts w:eastAsia="Times New Roman" w:cs="Times New Roman"/>
                <w:b/>
                <w:sz w:val="20"/>
                <w:szCs w:val="20"/>
                <w:lang w:eastAsia="hu-HU"/>
              </w:rPr>
            </w:pPr>
          </w:p>
        </w:tc>
        <w:tc>
          <w:tcPr>
            <w:tcW w:w="172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570E12" w:rsidRPr="007B1241" w:rsidRDefault="00570E12" w:rsidP="00A35D87">
            <w:pPr>
              <w:spacing w:after="0" w:line="240" w:lineRule="auto"/>
              <w:jc w:val="center"/>
              <w:rPr>
                <w:rFonts w:eastAsia="Times New Roman" w:cs="Times New Roman"/>
                <w:b/>
                <w:sz w:val="20"/>
                <w:szCs w:val="20"/>
                <w:lang w:eastAsia="hu-HU"/>
              </w:rPr>
            </w:pPr>
            <w:r w:rsidRPr="007B1241">
              <w:rPr>
                <w:rFonts w:eastAsia="Times New Roman" w:cs="Times New Roman"/>
                <w:b/>
                <w:sz w:val="20"/>
                <w:szCs w:val="20"/>
                <w:lang w:eastAsia="hu-HU"/>
              </w:rPr>
              <w:t>számított havi érték, forint</w:t>
            </w:r>
          </w:p>
        </w:tc>
        <w:tc>
          <w:tcPr>
            <w:tcW w:w="533" w:type="pct"/>
            <w:vMerge/>
            <w:tcBorders>
              <w:top w:val="single" w:sz="4" w:space="0" w:color="auto"/>
              <w:left w:val="single" w:sz="4" w:space="0" w:color="auto"/>
              <w:bottom w:val="single" w:sz="4" w:space="0" w:color="000000"/>
              <w:right w:val="single" w:sz="4" w:space="0" w:color="auto"/>
            </w:tcBorders>
            <w:vAlign w:val="center"/>
            <w:hideMark/>
          </w:tcPr>
          <w:p w:rsidR="00570E12" w:rsidRPr="007B1241" w:rsidRDefault="00570E12" w:rsidP="00A35D87">
            <w:pPr>
              <w:spacing w:after="0" w:line="240" w:lineRule="auto"/>
              <w:rPr>
                <w:rFonts w:eastAsia="Times New Roman" w:cs="Times New Roman"/>
                <w:sz w:val="20"/>
                <w:szCs w:val="20"/>
                <w:lang w:eastAsia="hu-HU"/>
              </w:rPr>
            </w:pPr>
          </w:p>
        </w:tc>
        <w:tc>
          <w:tcPr>
            <w:tcW w:w="717" w:type="pct"/>
            <w:vMerge/>
            <w:tcBorders>
              <w:top w:val="single" w:sz="4" w:space="0" w:color="auto"/>
              <w:left w:val="single" w:sz="4" w:space="0" w:color="auto"/>
              <w:bottom w:val="single" w:sz="4" w:space="0" w:color="auto"/>
            </w:tcBorders>
            <w:vAlign w:val="center"/>
            <w:hideMark/>
          </w:tcPr>
          <w:p w:rsidR="00570E12" w:rsidRPr="007B1241" w:rsidRDefault="00570E12" w:rsidP="00A35D87">
            <w:pPr>
              <w:spacing w:after="0" w:line="240" w:lineRule="auto"/>
              <w:rPr>
                <w:rFonts w:eastAsia="Times New Roman" w:cs="Times New Roman"/>
                <w:sz w:val="20"/>
                <w:szCs w:val="20"/>
                <w:lang w:eastAsia="hu-HU"/>
              </w:rPr>
            </w:pPr>
          </w:p>
        </w:tc>
      </w:tr>
      <w:tr w:rsidR="00570E12" w:rsidRPr="007B1241" w:rsidTr="00570E12">
        <w:trPr>
          <w:gridAfter w:val="2"/>
          <w:wAfter w:w="1187" w:type="pct"/>
          <w:trHeight w:val="600"/>
        </w:trPr>
        <w:tc>
          <w:tcPr>
            <w:tcW w:w="834" w:type="pct"/>
            <w:vMerge/>
            <w:tcBorders>
              <w:top w:val="single" w:sz="4" w:space="0" w:color="000000"/>
              <w:bottom w:val="single" w:sz="4" w:space="0" w:color="auto"/>
              <w:right w:val="single" w:sz="4" w:space="0" w:color="auto"/>
            </w:tcBorders>
            <w:vAlign w:val="center"/>
            <w:hideMark/>
          </w:tcPr>
          <w:p w:rsidR="00570E12" w:rsidRPr="007B1241" w:rsidRDefault="00570E12" w:rsidP="00A35D87">
            <w:pPr>
              <w:spacing w:after="0" w:line="240" w:lineRule="auto"/>
              <w:rPr>
                <w:rFonts w:eastAsia="Times New Roman" w:cs="Times New Roman"/>
                <w:b/>
                <w:sz w:val="20"/>
                <w:szCs w:val="20"/>
                <w:lang w:eastAsia="hu-HU"/>
              </w:rPr>
            </w:pPr>
          </w:p>
        </w:tc>
        <w:tc>
          <w:tcPr>
            <w:tcW w:w="477" w:type="pct"/>
            <w:tcBorders>
              <w:top w:val="nil"/>
              <w:left w:val="nil"/>
              <w:bottom w:val="single" w:sz="4" w:space="0" w:color="auto"/>
              <w:right w:val="single" w:sz="4" w:space="0" w:color="auto"/>
            </w:tcBorders>
            <w:shd w:val="clear" w:color="auto" w:fill="auto"/>
            <w:noWrap/>
            <w:vAlign w:val="bottom"/>
            <w:hideMark/>
          </w:tcPr>
          <w:p w:rsidR="00570E12" w:rsidRPr="007B1241" w:rsidRDefault="00570E12" w:rsidP="00A35D87">
            <w:pPr>
              <w:spacing w:after="0" w:line="240" w:lineRule="auto"/>
              <w:jc w:val="center"/>
              <w:rPr>
                <w:rFonts w:eastAsia="Times New Roman" w:cs="Times New Roman"/>
                <w:b/>
                <w:sz w:val="20"/>
                <w:szCs w:val="20"/>
                <w:lang w:eastAsia="hu-HU"/>
              </w:rPr>
            </w:pPr>
            <w:r w:rsidRPr="007B1241">
              <w:rPr>
                <w:rFonts w:eastAsia="Times New Roman" w:cs="Times New Roman"/>
                <w:b/>
                <w:sz w:val="20"/>
                <w:szCs w:val="20"/>
                <w:lang w:eastAsia="hu-HU"/>
              </w:rPr>
              <w:t>összesen</w:t>
            </w:r>
          </w:p>
        </w:tc>
        <w:tc>
          <w:tcPr>
            <w:tcW w:w="417" w:type="pct"/>
            <w:tcBorders>
              <w:top w:val="nil"/>
              <w:left w:val="nil"/>
              <w:bottom w:val="single" w:sz="4" w:space="0" w:color="auto"/>
              <w:right w:val="single" w:sz="4" w:space="0" w:color="auto"/>
            </w:tcBorders>
            <w:shd w:val="clear" w:color="auto" w:fill="auto"/>
            <w:vAlign w:val="bottom"/>
            <w:hideMark/>
          </w:tcPr>
          <w:p w:rsidR="00570E12" w:rsidRPr="007B1241" w:rsidRDefault="00570E12" w:rsidP="00A35D87">
            <w:pPr>
              <w:spacing w:after="0" w:line="240" w:lineRule="auto"/>
              <w:jc w:val="center"/>
              <w:rPr>
                <w:rFonts w:eastAsia="Times New Roman" w:cs="Times New Roman"/>
                <w:b/>
                <w:sz w:val="20"/>
                <w:szCs w:val="20"/>
                <w:lang w:eastAsia="hu-HU"/>
              </w:rPr>
            </w:pPr>
            <w:r w:rsidRPr="007B1241">
              <w:rPr>
                <w:rFonts w:eastAsia="Times New Roman" w:cs="Times New Roman"/>
                <w:b/>
                <w:sz w:val="20"/>
                <w:szCs w:val="20"/>
                <w:lang w:eastAsia="hu-HU"/>
              </w:rPr>
              <w:t>ebből: élelmiszer</w:t>
            </w:r>
          </w:p>
        </w:tc>
        <w:tc>
          <w:tcPr>
            <w:tcW w:w="416" w:type="pct"/>
            <w:tcBorders>
              <w:top w:val="nil"/>
              <w:left w:val="nil"/>
              <w:bottom w:val="single" w:sz="4" w:space="0" w:color="auto"/>
              <w:right w:val="single" w:sz="4" w:space="0" w:color="auto"/>
            </w:tcBorders>
            <w:shd w:val="clear" w:color="auto" w:fill="auto"/>
            <w:noWrap/>
            <w:vAlign w:val="bottom"/>
            <w:hideMark/>
          </w:tcPr>
          <w:p w:rsidR="00570E12" w:rsidRPr="007B1241" w:rsidRDefault="00570E12" w:rsidP="00A35D87">
            <w:pPr>
              <w:spacing w:after="0" w:line="240" w:lineRule="auto"/>
              <w:jc w:val="center"/>
              <w:rPr>
                <w:rFonts w:eastAsia="Times New Roman" w:cs="Times New Roman"/>
                <w:b/>
                <w:sz w:val="20"/>
                <w:szCs w:val="20"/>
                <w:lang w:eastAsia="hu-HU"/>
              </w:rPr>
            </w:pPr>
            <w:r w:rsidRPr="007B1241">
              <w:rPr>
                <w:rFonts w:eastAsia="Times New Roman" w:cs="Times New Roman"/>
                <w:b/>
                <w:sz w:val="20"/>
                <w:szCs w:val="20"/>
                <w:lang w:eastAsia="hu-HU"/>
              </w:rPr>
              <w:t>összesen</w:t>
            </w:r>
          </w:p>
        </w:tc>
        <w:tc>
          <w:tcPr>
            <w:tcW w:w="419" w:type="pct"/>
            <w:tcBorders>
              <w:top w:val="nil"/>
              <w:left w:val="nil"/>
              <w:bottom w:val="single" w:sz="4" w:space="0" w:color="auto"/>
              <w:right w:val="single" w:sz="4" w:space="0" w:color="auto"/>
            </w:tcBorders>
            <w:shd w:val="clear" w:color="auto" w:fill="auto"/>
            <w:vAlign w:val="bottom"/>
            <w:hideMark/>
          </w:tcPr>
          <w:p w:rsidR="00570E12" w:rsidRPr="007B1241" w:rsidRDefault="00570E12" w:rsidP="00A35D87">
            <w:pPr>
              <w:spacing w:after="0" w:line="240" w:lineRule="auto"/>
              <w:jc w:val="center"/>
              <w:rPr>
                <w:rFonts w:eastAsia="Times New Roman" w:cs="Times New Roman"/>
                <w:b/>
                <w:sz w:val="20"/>
                <w:szCs w:val="20"/>
                <w:lang w:eastAsia="hu-HU"/>
              </w:rPr>
            </w:pPr>
            <w:r w:rsidRPr="007B1241">
              <w:rPr>
                <w:rFonts w:eastAsia="Times New Roman" w:cs="Times New Roman"/>
                <w:b/>
                <w:sz w:val="20"/>
                <w:szCs w:val="20"/>
                <w:lang w:eastAsia="hu-HU"/>
              </w:rPr>
              <w:t>ebből: élelmiszer</w:t>
            </w: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570E12" w:rsidRPr="007B1241" w:rsidRDefault="00570E12" w:rsidP="00A35D87">
            <w:pPr>
              <w:spacing w:after="0" w:line="240" w:lineRule="auto"/>
              <w:rPr>
                <w:rFonts w:eastAsia="Times New Roman" w:cs="Times New Roman"/>
                <w:sz w:val="20"/>
                <w:szCs w:val="20"/>
                <w:lang w:eastAsia="hu-HU"/>
              </w:rPr>
            </w:pPr>
          </w:p>
        </w:tc>
        <w:tc>
          <w:tcPr>
            <w:tcW w:w="717" w:type="pct"/>
            <w:vMerge/>
            <w:tcBorders>
              <w:top w:val="single" w:sz="4" w:space="0" w:color="auto"/>
              <w:left w:val="single" w:sz="4" w:space="0" w:color="auto"/>
              <w:bottom w:val="single" w:sz="4" w:space="0" w:color="auto"/>
            </w:tcBorders>
            <w:vAlign w:val="center"/>
            <w:hideMark/>
          </w:tcPr>
          <w:p w:rsidR="00570E12" w:rsidRPr="007B1241" w:rsidRDefault="00570E12" w:rsidP="00A35D87">
            <w:pPr>
              <w:spacing w:after="0" w:line="240" w:lineRule="auto"/>
              <w:rPr>
                <w:rFonts w:eastAsia="Times New Roman" w:cs="Times New Roman"/>
                <w:sz w:val="20"/>
                <w:szCs w:val="20"/>
                <w:lang w:eastAsia="hu-HU"/>
              </w:rPr>
            </w:pPr>
          </w:p>
        </w:tc>
      </w:tr>
      <w:tr w:rsidR="00570E12" w:rsidRPr="007B1241" w:rsidTr="00570E12">
        <w:trPr>
          <w:gridAfter w:val="2"/>
          <w:wAfter w:w="1187" w:type="pct"/>
          <w:trHeight w:val="300"/>
        </w:trPr>
        <w:tc>
          <w:tcPr>
            <w:tcW w:w="3813" w:type="pct"/>
            <w:gridSpan w:val="7"/>
            <w:tcBorders>
              <w:top w:val="single" w:sz="4" w:space="0" w:color="auto"/>
            </w:tcBorders>
            <w:shd w:val="clear" w:color="auto" w:fill="auto"/>
            <w:noWrap/>
            <w:vAlign w:val="bottom"/>
            <w:hideMark/>
          </w:tcPr>
          <w:p w:rsidR="00570E12" w:rsidRPr="007B1241" w:rsidRDefault="00570E12" w:rsidP="00A35D87">
            <w:pPr>
              <w:spacing w:after="0" w:line="240" w:lineRule="auto"/>
              <w:jc w:val="center"/>
              <w:rPr>
                <w:rFonts w:eastAsia="Times New Roman" w:cs="Times New Roman"/>
                <w:b/>
                <w:sz w:val="20"/>
                <w:szCs w:val="20"/>
                <w:lang w:eastAsia="hu-HU"/>
              </w:rPr>
            </w:pPr>
          </w:p>
          <w:p w:rsidR="00570E12" w:rsidRPr="007B1241" w:rsidRDefault="00570E12" w:rsidP="00A35D87">
            <w:pPr>
              <w:spacing w:after="0" w:line="240" w:lineRule="auto"/>
              <w:jc w:val="center"/>
              <w:rPr>
                <w:rFonts w:eastAsia="Times New Roman" w:cs="Times New Roman"/>
                <w:b/>
                <w:sz w:val="20"/>
                <w:szCs w:val="20"/>
                <w:lang w:eastAsia="hu-HU"/>
              </w:rPr>
            </w:pPr>
            <w:r w:rsidRPr="007B1241">
              <w:rPr>
                <w:rFonts w:eastAsia="Times New Roman" w:cs="Times New Roman"/>
                <w:b/>
                <w:sz w:val="20"/>
                <w:szCs w:val="20"/>
                <w:lang w:eastAsia="hu-HU"/>
              </w:rPr>
              <w:t>Aktív korúak háztartásai</w:t>
            </w:r>
          </w:p>
          <w:p w:rsidR="00570E12" w:rsidRPr="007B1241" w:rsidRDefault="00570E12" w:rsidP="00A35D87">
            <w:pPr>
              <w:spacing w:after="0" w:line="240" w:lineRule="auto"/>
              <w:jc w:val="center"/>
              <w:rPr>
                <w:rFonts w:eastAsia="Times New Roman" w:cs="Times New Roman"/>
                <w:b/>
                <w:sz w:val="20"/>
                <w:szCs w:val="20"/>
                <w:lang w:eastAsia="hu-HU"/>
              </w:rPr>
            </w:pPr>
          </w:p>
        </w:tc>
      </w:tr>
      <w:tr w:rsidR="00FE5A62" w:rsidRPr="007B1241" w:rsidTr="00BF305E">
        <w:trPr>
          <w:gridAfter w:val="2"/>
          <w:wAfter w:w="1187" w:type="pct"/>
          <w:trHeight w:val="300"/>
        </w:trPr>
        <w:tc>
          <w:tcPr>
            <w:tcW w:w="834" w:type="pct"/>
            <w:tcBorders>
              <w:top w:val="nil"/>
              <w:bottom w:val="nil"/>
              <w:right w:val="nil"/>
            </w:tcBorders>
            <w:shd w:val="clear" w:color="auto" w:fill="auto"/>
            <w:noWrap/>
            <w:vAlign w:val="bottom"/>
            <w:hideMark/>
          </w:tcPr>
          <w:p w:rsidR="00FE5A62" w:rsidRPr="002F714E" w:rsidRDefault="00FE5A62" w:rsidP="00FE5A62">
            <w:pPr>
              <w:rPr>
                <w:color w:val="000000"/>
                <w:sz w:val="20"/>
                <w:szCs w:val="20"/>
              </w:rPr>
            </w:pPr>
            <w:r w:rsidRPr="002F714E">
              <w:rPr>
                <w:color w:val="000000"/>
                <w:sz w:val="20"/>
                <w:szCs w:val="20"/>
              </w:rPr>
              <w:t>1 felnőtt</w:t>
            </w:r>
          </w:p>
        </w:tc>
        <w:tc>
          <w:tcPr>
            <w:tcW w:w="477" w:type="pct"/>
            <w:tcBorders>
              <w:top w:val="nil"/>
              <w:left w:val="nil"/>
              <w:bottom w:val="nil"/>
              <w:right w:val="nil"/>
            </w:tcBorders>
            <w:shd w:val="clear" w:color="auto" w:fill="auto"/>
            <w:noWrap/>
            <w:hideMark/>
          </w:tcPr>
          <w:p w:rsidR="00FE5A62" w:rsidRPr="00F627CB" w:rsidRDefault="00FE5A62" w:rsidP="00FE5A62">
            <w:pPr>
              <w:jc w:val="right"/>
            </w:pPr>
            <w:r w:rsidRPr="00F627CB">
              <w:t>101 398</w:t>
            </w:r>
          </w:p>
        </w:tc>
        <w:tc>
          <w:tcPr>
            <w:tcW w:w="417" w:type="pct"/>
            <w:tcBorders>
              <w:top w:val="nil"/>
              <w:left w:val="nil"/>
              <w:bottom w:val="nil"/>
              <w:right w:val="nil"/>
            </w:tcBorders>
            <w:shd w:val="clear" w:color="auto" w:fill="auto"/>
            <w:noWrap/>
            <w:hideMark/>
          </w:tcPr>
          <w:p w:rsidR="00FE5A62" w:rsidRPr="00F627CB" w:rsidRDefault="00FE5A62" w:rsidP="00FE5A62">
            <w:pPr>
              <w:jc w:val="right"/>
            </w:pPr>
            <w:r w:rsidRPr="00F627CB">
              <w:t>28 167</w:t>
            </w:r>
          </w:p>
        </w:tc>
        <w:tc>
          <w:tcPr>
            <w:tcW w:w="416" w:type="pct"/>
            <w:tcBorders>
              <w:top w:val="nil"/>
              <w:left w:val="nil"/>
              <w:bottom w:val="nil"/>
              <w:right w:val="nil"/>
            </w:tcBorders>
            <w:shd w:val="clear" w:color="auto" w:fill="auto"/>
            <w:noWrap/>
            <w:hideMark/>
          </w:tcPr>
          <w:p w:rsidR="00FE5A62" w:rsidRPr="00F627CB" w:rsidRDefault="00FE5A62" w:rsidP="00FE5A62">
            <w:pPr>
              <w:jc w:val="right"/>
            </w:pPr>
            <w:r w:rsidRPr="00F627CB">
              <w:t>101 398</w:t>
            </w:r>
          </w:p>
        </w:tc>
        <w:tc>
          <w:tcPr>
            <w:tcW w:w="419" w:type="pct"/>
            <w:tcBorders>
              <w:top w:val="nil"/>
              <w:left w:val="nil"/>
              <w:bottom w:val="nil"/>
              <w:right w:val="nil"/>
            </w:tcBorders>
            <w:shd w:val="clear" w:color="auto" w:fill="auto"/>
            <w:noWrap/>
            <w:hideMark/>
          </w:tcPr>
          <w:p w:rsidR="00FE5A62" w:rsidRPr="00F627CB" w:rsidRDefault="00FE5A62" w:rsidP="00FE5A62">
            <w:pPr>
              <w:jc w:val="right"/>
            </w:pPr>
            <w:r w:rsidRPr="00F627CB">
              <w:t>28 167</w:t>
            </w:r>
          </w:p>
        </w:tc>
        <w:tc>
          <w:tcPr>
            <w:tcW w:w="533" w:type="pct"/>
            <w:tcBorders>
              <w:top w:val="nil"/>
              <w:left w:val="nil"/>
              <w:bottom w:val="nil"/>
              <w:right w:val="nil"/>
            </w:tcBorders>
            <w:shd w:val="clear" w:color="auto" w:fill="auto"/>
            <w:noWrap/>
            <w:hideMark/>
          </w:tcPr>
          <w:p w:rsidR="00FE5A62" w:rsidRPr="00F627CB" w:rsidRDefault="00FE5A62" w:rsidP="00FE5A62">
            <w:pPr>
              <w:jc w:val="right"/>
            </w:pPr>
            <w:r w:rsidRPr="00F627CB">
              <w:t>3,60</w:t>
            </w:r>
          </w:p>
        </w:tc>
        <w:tc>
          <w:tcPr>
            <w:tcW w:w="717" w:type="pct"/>
            <w:tcBorders>
              <w:top w:val="nil"/>
              <w:left w:val="nil"/>
              <w:bottom w:val="nil"/>
              <w:right w:val="single" w:sz="8" w:space="0" w:color="auto"/>
            </w:tcBorders>
            <w:shd w:val="clear" w:color="auto" w:fill="auto"/>
            <w:noWrap/>
            <w:hideMark/>
          </w:tcPr>
          <w:p w:rsidR="00FE5A62" w:rsidRPr="00F627CB" w:rsidRDefault="00FE5A62" w:rsidP="00FE5A62">
            <w:pPr>
              <w:jc w:val="right"/>
            </w:pPr>
            <w:r w:rsidRPr="00F627CB">
              <w:t>1</w:t>
            </w:r>
          </w:p>
        </w:tc>
      </w:tr>
      <w:tr w:rsidR="00FE5A62" w:rsidRPr="007B1241" w:rsidTr="00BF305E">
        <w:trPr>
          <w:gridAfter w:val="2"/>
          <w:wAfter w:w="1187" w:type="pct"/>
          <w:trHeight w:val="300"/>
        </w:trPr>
        <w:tc>
          <w:tcPr>
            <w:tcW w:w="834" w:type="pct"/>
            <w:tcBorders>
              <w:top w:val="nil"/>
              <w:bottom w:val="nil"/>
              <w:right w:val="nil"/>
            </w:tcBorders>
            <w:shd w:val="clear" w:color="auto" w:fill="auto"/>
            <w:noWrap/>
            <w:vAlign w:val="bottom"/>
            <w:hideMark/>
          </w:tcPr>
          <w:p w:rsidR="00FE5A62" w:rsidRPr="002F714E" w:rsidRDefault="00FE5A62" w:rsidP="00FE5A62">
            <w:pPr>
              <w:rPr>
                <w:color w:val="000000"/>
                <w:sz w:val="20"/>
                <w:szCs w:val="20"/>
              </w:rPr>
            </w:pPr>
            <w:r w:rsidRPr="002F714E">
              <w:rPr>
                <w:color w:val="000000"/>
                <w:sz w:val="20"/>
                <w:szCs w:val="20"/>
              </w:rPr>
              <w:t>1 felnőtt 1 gyermekkel</w:t>
            </w:r>
          </w:p>
        </w:tc>
        <w:tc>
          <w:tcPr>
            <w:tcW w:w="477" w:type="pct"/>
            <w:tcBorders>
              <w:top w:val="nil"/>
              <w:left w:val="nil"/>
              <w:bottom w:val="nil"/>
              <w:right w:val="nil"/>
            </w:tcBorders>
            <w:shd w:val="clear" w:color="auto" w:fill="auto"/>
            <w:noWrap/>
            <w:hideMark/>
          </w:tcPr>
          <w:p w:rsidR="00FE5A62" w:rsidRPr="00F627CB" w:rsidRDefault="00FE5A62" w:rsidP="00FE5A62">
            <w:pPr>
              <w:jc w:val="right"/>
            </w:pPr>
            <w:r w:rsidRPr="00F627CB">
              <w:t>167 307</w:t>
            </w:r>
          </w:p>
        </w:tc>
        <w:tc>
          <w:tcPr>
            <w:tcW w:w="417" w:type="pct"/>
            <w:tcBorders>
              <w:top w:val="nil"/>
              <w:left w:val="nil"/>
              <w:bottom w:val="nil"/>
              <w:right w:val="nil"/>
            </w:tcBorders>
            <w:shd w:val="clear" w:color="auto" w:fill="auto"/>
            <w:noWrap/>
            <w:hideMark/>
          </w:tcPr>
          <w:p w:rsidR="00FE5A62" w:rsidRPr="00F627CB" w:rsidRDefault="00FE5A62" w:rsidP="00FE5A62">
            <w:pPr>
              <w:jc w:val="right"/>
            </w:pPr>
            <w:r w:rsidRPr="00F627CB">
              <w:t>50 081</w:t>
            </w:r>
          </w:p>
        </w:tc>
        <w:tc>
          <w:tcPr>
            <w:tcW w:w="416" w:type="pct"/>
            <w:tcBorders>
              <w:top w:val="nil"/>
              <w:left w:val="nil"/>
              <w:bottom w:val="nil"/>
              <w:right w:val="nil"/>
            </w:tcBorders>
            <w:shd w:val="clear" w:color="auto" w:fill="auto"/>
            <w:noWrap/>
            <w:hideMark/>
          </w:tcPr>
          <w:p w:rsidR="00FE5A62" w:rsidRPr="00F627CB" w:rsidRDefault="00FE5A62" w:rsidP="00FE5A62">
            <w:pPr>
              <w:jc w:val="right"/>
            </w:pPr>
            <w:r w:rsidRPr="00F627CB">
              <w:t>83 653</w:t>
            </w:r>
          </w:p>
        </w:tc>
        <w:tc>
          <w:tcPr>
            <w:tcW w:w="419" w:type="pct"/>
            <w:tcBorders>
              <w:top w:val="nil"/>
              <w:left w:val="nil"/>
              <w:bottom w:val="nil"/>
              <w:right w:val="nil"/>
            </w:tcBorders>
            <w:shd w:val="clear" w:color="auto" w:fill="auto"/>
            <w:noWrap/>
            <w:hideMark/>
          </w:tcPr>
          <w:p w:rsidR="00FE5A62" w:rsidRPr="00F627CB" w:rsidRDefault="00FE5A62" w:rsidP="00FE5A62">
            <w:pPr>
              <w:jc w:val="right"/>
            </w:pPr>
            <w:r w:rsidRPr="00F627CB">
              <w:t>25 040</w:t>
            </w:r>
          </w:p>
        </w:tc>
        <w:tc>
          <w:tcPr>
            <w:tcW w:w="533" w:type="pct"/>
            <w:tcBorders>
              <w:top w:val="nil"/>
              <w:left w:val="nil"/>
              <w:bottom w:val="nil"/>
              <w:right w:val="nil"/>
            </w:tcBorders>
            <w:shd w:val="clear" w:color="auto" w:fill="auto"/>
            <w:noWrap/>
            <w:hideMark/>
          </w:tcPr>
          <w:p w:rsidR="00FE5A62" w:rsidRPr="00F627CB" w:rsidRDefault="00FE5A62" w:rsidP="00FE5A62">
            <w:pPr>
              <w:jc w:val="right"/>
            </w:pPr>
            <w:r w:rsidRPr="00F627CB">
              <w:t>3,34</w:t>
            </w:r>
          </w:p>
        </w:tc>
        <w:tc>
          <w:tcPr>
            <w:tcW w:w="717" w:type="pct"/>
            <w:tcBorders>
              <w:top w:val="nil"/>
              <w:left w:val="nil"/>
              <w:bottom w:val="nil"/>
              <w:right w:val="single" w:sz="8" w:space="0" w:color="auto"/>
            </w:tcBorders>
            <w:shd w:val="clear" w:color="auto" w:fill="auto"/>
            <w:noWrap/>
            <w:hideMark/>
          </w:tcPr>
          <w:p w:rsidR="00FE5A62" w:rsidRPr="00F627CB" w:rsidRDefault="00FE5A62" w:rsidP="00FE5A62">
            <w:pPr>
              <w:jc w:val="right"/>
            </w:pPr>
            <w:r w:rsidRPr="00F627CB">
              <w:t>1,65</w:t>
            </w:r>
          </w:p>
        </w:tc>
      </w:tr>
      <w:tr w:rsidR="00FE5A62" w:rsidRPr="007B1241" w:rsidTr="00BF305E">
        <w:trPr>
          <w:gridAfter w:val="2"/>
          <w:wAfter w:w="1187" w:type="pct"/>
          <w:trHeight w:val="300"/>
        </w:trPr>
        <w:tc>
          <w:tcPr>
            <w:tcW w:w="834" w:type="pct"/>
            <w:tcBorders>
              <w:top w:val="nil"/>
              <w:bottom w:val="nil"/>
              <w:right w:val="nil"/>
            </w:tcBorders>
            <w:shd w:val="clear" w:color="auto" w:fill="auto"/>
            <w:noWrap/>
            <w:vAlign w:val="bottom"/>
            <w:hideMark/>
          </w:tcPr>
          <w:p w:rsidR="00FE5A62" w:rsidRPr="002F714E" w:rsidRDefault="00FE5A62" w:rsidP="00FE5A62">
            <w:pPr>
              <w:rPr>
                <w:color w:val="000000"/>
                <w:sz w:val="20"/>
                <w:szCs w:val="20"/>
              </w:rPr>
            </w:pPr>
            <w:r w:rsidRPr="002F714E">
              <w:rPr>
                <w:color w:val="000000"/>
                <w:sz w:val="20"/>
                <w:szCs w:val="20"/>
              </w:rPr>
              <w:t>1 felnőtt 2 gyermekkel</w:t>
            </w:r>
          </w:p>
        </w:tc>
        <w:tc>
          <w:tcPr>
            <w:tcW w:w="477" w:type="pct"/>
            <w:tcBorders>
              <w:top w:val="nil"/>
              <w:left w:val="nil"/>
              <w:bottom w:val="nil"/>
              <w:right w:val="nil"/>
            </w:tcBorders>
            <w:shd w:val="clear" w:color="auto" w:fill="auto"/>
            <w:noWrap/>
            <w:hideMark/>
          </w:tcPr>
          <w:p w:rsidR="00FE5A62" w:rsidRPr="00F627CB" w:rsidRDefault="00FE5A62" w:rsidP="00FE5A62">
            <w:pPr>
              <w:jc w:val="right"/>
            </w:pPr>
            <w:r w:rsidRPr="00F627CB">
              <w:t>218 006</w:t>
            </w:r>
          </w:p>
        </w:tc>
        <w:tc>
          <w:tcPr>
            <w:tcW w:w="417" w:type="pct"/>
            <w:tcBorders>
              <w:top w:val="nil"/>
              <w:left w:val="nil"/>
              <w:bottom w:val="nil"/>
              <w:right w:val="nil"/>
            </w:tcBorders>
            <w:shd w:val="clear" w:color="auto" w:fill="auto"/>
            <w:noWrap/>
            <w:hideMark/>
          </w:tcPr>
          <w:p w:rsidR="00FE5A62" w:rsidRPr="00F627CB" w:rsidRDefault="00FE5A62" w:rsidP="00FE5A62">
            <w:pPr>
              <w:jc w:val="right"/>
            </w:pPr>
            <w:r w:rsidRPr="00F627CB">
              <w:t>71 995</w:t>
            </w:r>
          </w:p>
        </w:tc>
        <w:tc>
          <w:tcPr>
            <w:tcW w:w="416" w:type="pct"/>
            <w:tcBorders>
              <w:top w:val="nil"/>
              <w:left w:val="nil"/>
              <w:bottom w:val="nil"/>
              <w:right w:val="nil"/>
            </w:tcBorders>
            <w:shd w:val="clear" w:color="auto" w:fill="auto"/>
            <w:noWrap/>
            <w:hideMark/>
          </w:tcPr>
          <w:p w:rsidR="00FE5A62" w:rsidRPr="00F627CB" w:rsidRDefault="00FE5A62" w:rsidP="00FE5A62">
            <w:pPr>
              <w:jc w:val="right"/>
            </w:pPr>
            <w:r w:rsidRPr="00F627CB">
              <w:t>72 669</w:t>
            </w:r>
          </w:p>
        </w:tc>
        <w:tc>
          <w:tcPr>
            <w:tcW w:w="419" w:type="pct"/>
            <w:tcBorders>
              <w:top w:val="nil"/>
              <w:left w:val="nil"/>
              <w:bottom w:val="nil"/>
              <w:right w:val="nil"/>
            </w:tcBorders>
            <w:shd w:val="clear" w:color="auto" w:fill="auto"/>
            <w:noWrap/>
            <w:hideMark/>
          </w:tcPr>
          <w:p w:rsidR="00FE5A62" w:rsidRPr="00F627CB" w:rsidRDefault="00FE5A62" w:rsidP="00FE5A62">
            <w:pPr>
              <w:jc w:val="right"/>
            </w:pPr>
            <w:r w:rsidRPr="00F627CB">
              <w:t>23 998</w:t>
            </w:r>
          </w:p>
        </w:tc>
        <w:tc>
          <w:tcPr>
            <w:tcW w:w="533" w:type="pct"/>
            <w:tcBorders>
              <w:top w:val="nil"/>
              <w:left w:val="nil"/>
              <w:bottom w:val="nil"/>
              <w:right w:val="nil"/>
            </w:tcBorders>
            <w:shd w:val="clear" w:color="auto" w:fill="auto"/>
            <w:noWrap/>
            <w:hideMark/>
          </w:tcPr>
          <w:p w:rsidR="00FE5A62" w:rsidRPr="00F627CB" w:rsidRDefault="00FE5A62" w:rsidP="00FE5A62">
            <w:pPr>
              <w:jc w:val="right"/>
            </w:pPr>
            <w:r w:rsidRPr="00F627CB">
              <w:t>3,03</w:t>
            </w:r>
          </w:p>
        </w:tc>
        <w:tc>
          <w:tcPr>
            <w:tcW w:w="717" w:type="pct"/>
            <w:tcBorders>
              <w:top w:val="nil"/>
              <w:left w:val="nil"/>
              <w:bottom w:val="nil"/>
              <w:right w:val="single" w:sz="8" w:space="0" w:color="auto"/>
            </w:tcBorders>
            <w:shd w:val="clear" w:color="auto" w:fill="auto"/>
            <w:noWrap/>
            <w:hideMark/>
          </w:tcPr>
          <w:p w:rsidR="00FE5A62" w:rsidRPr="00F627CB" w:rsidRDefault="00FE5A62" w:rsidP="00FE5A62">
            <w:pPr>
              <w:jc w:val="right"/>
            </w:pPr>
            <w:r w:rsidRPr="00F627CB">
              <w:t>2,15</w:t>
            </w:r>
          </w:p>
        </w:tc>
      </w:tr>
      <w:tr w:rsidR="00FE5A62" w:rsidRPr="007B1241" w:rsidTr="00BF305E">
        <w:trPr>
          <w:gridAfter w:val="2"/>
          <w:wAfter w:w="1187" w:type="pct"/>
          <w:trHeight w:val="300"/>
        </w:trPr>
        <w:tc>
          <w:tcPr>
            <w:tcW w:w="834" w:type="pct"/>
            <w:tcBorders>
              <w:top w:val="nil"/>
              <w:bottom w:val="nil"/>
              <w:right w:val="nil"/>
            </w:tcBorders>
            <w:shd w:val="clear" w:color="auto" w:fill="auto"/>
            <w:noWrap/>
            <w:vAlign w:val="bottom"/>
            <w:hideMark/>
          </w:tcPr>
          <w:p w:rsidR="00FE5A62" w:rsidRPr="002F714E" w:rsidRDefault="00FE5A62" w:rsidP="00FE5A62">
            <w:pPr>
              <w:rPr>
                <w:color w:val="000000"/>
                <w:sz w:val="20"/>
                <w:szCs w:val="20"/>
              </w:rPr>
            </w:pPr>
            <w:r w:rsidRPr="002F714E">
              <w:rPr>
                <w:color w:val="000000"/>
                <w:sz w:val="20"/>
                <w:szCs w:val="20"/>
              </w:rPr>
              <w:t>2 felnőtt</w:t>
            </w:r>
          </w:p>
        </w:tc>
        <w:tc>
          <w:tcPr>
            <w:tcW w:w="477" w:type="pct"/>
            <w:tcBorders>
              <w:top w:val="nil"/>
              <w:left w:val="nil"/>
              <w:bottom w:val="nil"/>
              <w:right w:val="nil"/>
            </w:tcBorders>
            <w:shd w:val="clear" w:color="auto" w:fill="auto"/>
            <w:noWrap/>
            <w:hideMark/>
          </w:tcPr>
          <w:p w:rsidR="00FE5A62" w:rsidRPr="00F627CB" w:rsidRDefault="00FE5A62" w:rsidP="00FE5A62">
            <w:pPr>
              <w:jc w:val="right"/>
            </w:pPr>
            <w:r w:rsidRPr="00F627CB">
              <w:t>177 447</w:t>
            </w:r>
          </w:p>
        </w:tc>
        <w:tc>
          <w:tcPr>
            <w:tcW w:w="417" w:type="pct"/>
            <w:tcBorders>
              <w:top w:val="nil"/>
              <w:left w:val="nil"/>
              <w:bottom w:val="nil"/>
              <w:right w:val="nil"/>
            </w:tcBorders>
            <w:shd w:val="clear" w:color="auto" w:fill="auto"/>
            <w:noWrap/>
            <w:hideMark/>
          </w:tcPr>
          <w:p w:rsidR="00FE5A62" w:rsidRPr="00F627CB" w:rsidRDefault="00FE5A62" w:rsidP="00FE5A62">
            <w:pPr>
              <w:jc w:val="right"/>
            </w:pPr>
            <w:r w:rsidRPr="00F627CB">
              <w:t>56334</w:t>
            </w:r>
          </w:p>
        </w:tc>
        <w:tc>
          <w:tcPr>
            <w:tcW w:w="416" w:type="pct"/>
            <w:tcBorders>
              <w:top w:val="nil"/>
              <w:left w:val="nil"/>
              <w:bottom w:val="nil"/>
              <w:right w:val="nil"/>
            </w:tcBorders>
            <w:shd w:val="clear" w:color="auto" w:fill="auto"/>
            <w:noWrap/>
            <w:hideMark/>
          </w:tcPr>
          <w:p w:rsidR="00FE5A62" w:rsidRPr="00F627CB" w:rsidRDefault="00FE5A62" w:rsidP="00FE5A62">
            <w:pPr>
              <w:jc w:val="right"/>
            </w:pPr>
            <w:r w:rsidRPr="00F627CB">
              <w:t>88 723</w:t>
            </w:r>
          </w:p>
        </w:tc>
        <w:tc>
          <w:tcPr>
            <w:tcW w:w="419" w:type="pct"/>
            <w:tcBorders>
              <w:top w:val="nil"/>
              <w:left w:val="nil"/>
              <w:bottom w:val="nil"/>
              <w:right w:val="nil"/>
            </w:tcBorders>
            <w:shd w:val="clear" w:color="auto" w:fill="auto"/>
            <w:noWrap/>
            <w:hideMark/>
          </w:tcPr>
          <w:p w:rsidR="00FE5A62" w:rsidRPr="00F627CB" w:rsidRDefault="00FE5A62" w:rsidP="00FE5A62">
            <w:pPr>
              <w:jc w:val="right"/>
            </w:pPr>
            <w:r w:rsidRPr="00F627CB">
              <w:t>28 167</w:t>
            </w:r>
          </w:p>
        </w:tc>
        <w:tc>
          <w:tcPr>
            <w:tcW w:w="533" w:type="pct"/>
            <w:tcBorders>
              <w:top w:val="nil"/>
              <w:left w:val="nil"/>
              <w:bottom w:val="nil"/>
              <w:right w:val="nil"/>
            </w:tcBorders>
            <w:shd w:val="clear" w:color="auto" w:fill="auto"/>
            <w:noWrap/>
            <w:hideMark/>
          </w:tcPr>
          <w:p w:rsidR="00FE5A62" w:rsidRPr="00F627CB" w:rsidRDefault="00FE5A62" w:rsidP="00FE5A62">
            <w:pPr>
              <w:jc w:val="right"/>
            </w:pPr>
            <w:r w:rsidRPr="00F627CB">
              <w:t>3,15</w:t>
            </w:r>
          </w:p>
        </w:tc>
        <w:tc>
          <w:tcPr>
            <w:tcW w:w="717" w:type="pct"/>
            <w:tcBorders>
              <w:top w:val="nil"/>
              <w:left w:val="nil"/>
              <w:bottom w:val="nil"/>
              <w:right w:val="single" w:sz="8" w:space="0" w:color="auto"/>
            </w:tcBorders>
            <w:shd w:val="clear" w:color="auto" w:fill="auto"/>
            <w:noWrap/>
            <w:hideMark/>
          </w:tcPr>
          <w:p w:rsidR="00FE5A62" w:rsidRPr="00F627CB" w:rsidRDefault="00FE5A62" w:rsidP="00FE5A62">
            <w:pPr>
              <w:jc w:val="right"/>
            </w:pPr>
            <w:r w:rsidRPr="00F627CB">
              <w:t>1,75</w:t>
            </w:r>
          </w:p>
        </w:tc>
      </w:tr>
      <w:tr w:rsidR="00FE5A62" w:rsidRPr="007B1241" w:rsidTr="00BF305E">
        <w:trPr>
          <w:gridAfter w:val="2"/>
          <w:wAfter w:w="1187" w:type="pct"/>
          <w:trHeight w:val="300"/>
        </w:trPr>
        <w:tc>
          <w:tcPr>
            <w:tcW w:w="834" w:type="pct"/>
            <w:tcBorders>
              <w:top w:val="nil"/>
              <w:bottom w:val="nil"/>
              <w:right w:val="nil"/>
            </w:tcBorders>
            <w:shd w:val="clear" w:color="auto" w:fill="auto"/>
            <w:noWrap/>
            <w:vAlign w:val="bottom"/>
            <w:hideMark/>
          </w:tcPr>
          <w:p w:rsidR="00FE5A62" w:rsidRPr="002F714E" w:rsidRDefault="00FE5A62" w:rsidP="00FE5A62">
            <w:pPr>
              <w:rPr>
                <w:color w:val="000000"/>
                <w:sz w:val="20"/>
                <w:szCs w:val="20"/>
              </w:rPr>
            </w:pPr>
            <w:r w:rsidRPr="002F714E">
              <w:rPr>
                <w:color w:val="000000"/>
                <w:sz w:val="20"/>
                <w:szCs w:val="20"/>
              </w:rPr>
              <w:t>2 felnőtt 1 gyermekkel</w:t>
            </w:r>
          </w:p>
        </w:tc>
        <w:tc>
          <w:tcPr>
            <w:tcW w:w="477" w:type="pct"/>
            <w:tcBorders>
              <w:top w:val="nil"/>
              <w:left w:val="nil"/>
              <w:bottom w:val="nil"/>
              <w:right w:val="nil"/>
            </w:tcBorders>
            <w:shd w:val="clear" w:color="auto" w:fill="auto"/>
            <w:noWrap/>
            <w:hideMark/>
          </w:tcPr>
          <w:p w:rsidR="00FE5A62" w:rsidRPr="00F627CB" w:rsidRDefault="00FE5A62" w:rsidP="00FE5A62">
            <w:pPr>
              <w:jc w:val="right"/>
            </w:pPr>
            <w:r w:rsidRPr="00F627CB">
              <w:t>243 355</w:t>
            </w:r>
          </w:p>
        </w:tc>
        <w:tc>
          <w:tcPr>
            <w:tcW w:w="417" w:type="pct"/>
            <w:tcBorders>
              <w:top w:val="nil"/>
              <w:left w:val="nil"/>
              <w:bottom w:val="nil"/>
              <w:right w:val="nil"/>
            </w:tcBorders>
            <w:shd w:val="clear" w:color="auto" w:fill="auto"/>
            <w:noWrap/>
            <w:hideMark/>
          </w:tcPr>
          <w:p w:rsidR="00FE5A62" w:rsidRPr="00F627CB" w:rsidRDefault="00FE5A62" w:rsidP="00FE5A62">
            <w:pPr>
              <w:jc w:val="right"/>
            </w:pPr>
            <w:r w:rsidRPr="00F627CB">
              <w:t>78 248</w:t>
            </w:r>
          </w:p>
        </w:tc>
        <w:tc>
          <w:tcPr>
            <w:tcW w:w="416" w:type="pct"/>
            <w:tcBorders>
              <w:top w:val="nil"/>
              <w:left w:val="nil"/>
              <w:bottom w:val="nil"/>
              <w:right w:val="nil"/>
            </w:tcBorders>
            <w:shd w:val="clear" w:color="auto" w:fill="auto"/>
            <w:noWrap/>
            <w:hideMark/>
          </w:tcPr>
          <w:p w:rsidR="00FE5A62" w:rsidRPr="00F627CB" w:rsidRDefault="00FE5A62" w:rsidP="00FE5A62">
            <w:pPr>
              <w:jc w:val="right"/>
            </w:pPr>
            <w:r w:rsidRPr="00F627CB">
              <w:t>81 118</w:t>
            </w:r>
          </w:p>
        </w:tc>
        <w:tc>
          <w:tcPr>
            <w:tcW w:w="419" w:type="pct"/>
            <w:tcBorders>
              <w:top w:val="nil"/>
              <w:left w:val="nil"/>
              <w:bottom w:val="nil"/>
              <w:right w:val="nil"/>
            </w:tcBorders>
            <w:shd w:val="clear" w:color="auto" w:fill="auto"/>
            <w:noWrap/>
            <w:hideMark/>
          </w:tcPr>
          <w:p w:rsidR="00FE5A62" w:rsidRPr="00F627CB" w:rsidRDefault="00FE5A62" w:rsidP="00FE5A62">
            <w:pPr>
              <w:jc w:val="right"/>
            </w:pPr>
            <w:r w:rsidRPr="00F627CB">
              <w:t>26 083</w:t>
            </w:r>
          </w:p>
        </w:tc>
        <w:tc>
          <w:tcPr>
            <w:tcW w:w="533" w:type="pct"/>
            <w:tcBorders>
              <w:top w:val="nil"/>
              <w:left w:val="nil"/>
              <w:bottom w:val="nil"/>
              <w:right w:val="nil"/>
            </w:tcBorders>
            <w:shd w:val="clear" w:color="auto" w:fill="auto"/>
            <w:noWrap/>
            <w:hideMark/>
          </w:tcPr>
          <w:p w:rsidR="00FE5A62" w:rsidRPr="00F627CB" w:rsidRDefault="00FE5A62" w:rsidP="00FE5A62">
            <w:pPr>
              <w:jc w:val="right"/>
            </w:pPr>
            <w:r w:rsidRPr="00F627CB">
              <w:t>3,11</w:t>
            </w:r>
          </w:p>
        </w:tc>
        <w:tc>
          <w:tcPr>
            <w:tcW w:w="717" w:type="pct"/>
            <w:tcBorders>
              <w:top w:val="nil"/>
              <w:left w:val="nil"/>
              <w:bottom w:val="nil"/>
              <w:right w:val="single" w:sz="8" w:space="0" w:color="auto"/>
            </w:tcBorders>
            <w:shd w:val="clear" w:color="auto" w:fill="auto"/>
            <w:noWrap/>
            <w:hideMark/>
          </w:tcPr>
          <w:p w:rsidR="00FE5A62" w:rsidRPr="00F627CB" w:rsidRDefault="00FE5A62" w:rsidP="00FE5A62">
            <w:pPr>
              <w:jc w:val="right"/>
            </w:pPr>
            <w:r w:rsidRPr="00F627CB">
              <w:t>2,4</w:t>
            </w:r>
          </w:p>
        </w:tc>
      </w:tr>
      <w:tr w:rsidR="00FE5A62" w:rsidRPr="007B1241" w:rsidTr="00BF305E">
        <w:trPr>
          <w:gridAfter w:val="2"/>
          <w:wAfter w:w="1187" w:type="pct"/>
          <w:trHeight w:val="300"/>
        </w:trPr>
        <w:tc>
          <w:tcPr>
            <w:tcW w:w="834" w:type="pct"/>
            <w:tcBorders>
              <w:top w:val="nil"/>
              <w:bottom w:val="nil"/>
              <w:right w:val="nil"/>
            </w:tcBorders>
            <w:shd w:val="clear" w:color="auto" w:fill="auto"/>
            <w:noWrap/>
            <w:vAlign w:val="bottom"/>
            <w:hideMark/>
          </w:tcPr>
          <w:p w:rsidR="00FE5A62" w:rsidRPr="002F714E" w:rsidRDefault="00FE5A62" w:rsidP="00FE5A62">
            <w:pPr>
              <w:rPr>
                <w:color w:val="000000"/>
                <w:sz w:val="20"/>
                <w:szCs w:val="20"/>
              </w:rPr>
            </w:pPr>
            <w:r w:rsidRPr="002F714E">
              <w:rPr>
                <w:color w:val="000000"/>
                <w:sz w:val="20"/>
                <w:szCs w:val="20"/>
              </w:rPr>
              <w:t>2 felnőtt 2 gyermekkel</w:t>
            </w:r>
          </w:p>
        </w:tc>
        <w:tc>
          <w:tcPr>
            <w:tcW w:w="477" w:type="pct"/>
            <w:tcBorders>
              <w:top w:val="nil"/>
              <w:left w:val="nil"/>
              <w:bottom w:val="nil"/>
              <w:right w:val="nil"/>
            </w:tcBorders>
            <w:shd w:val="clear" w:color="auto" w:fill="auto"/>
            <w:noWrap/>
            <w:hideMark/>
          </w:tcPr>
          <w:p w:rsidR="00FE5A62" w:rsidRPr="00F627CB" w:rsidRDefault="00FE5A62" w:rsidP="00FE5A62">
            <w:pPr>
              <w:jc w:val="right"/>
            </w:pPr>
            <w:r w:rsidRPr="00F627CB">
              <w:t>294 054</w:t>
            </w:r>
          </w:p>
        </w:tc>
        <w:tc>
          <w:tcPr>
            <w:tcW w:w="417" w:type="pct"/>
            <w:tcBorders>
              <w:top w:val="nil"/>
              <w:left w:val="nil"/>
              <w:bottom w:val="nil"/>
              <w:right w:val="nil"/>
            </w:tcBorders>
            <w:shd w:val="clear" w:color="auto" w:fill="auto"/>
            <w:noWrap/>
            <w:hideMark/>
          </w:tcPr>
          <w:p w:rsidR="00FE5A62" w:rsidRPr="00F627CB" w:rsidRDefault="00FE5A62" w:rsidP="00FE5A62">
            <w:pPr>
              <w:jc w:val="right"/>
            </w:pPr>
            <w:r w:rsidRPr="00F627CB">
              <w:t>100 162</w:t>
            </w:r>
          </w:p>
        </w:tc>
        <w:tc>
          <w:tcPr>
            <w:tcW w:w="416" w:type="pct"/>
            <w:tcBorders>
              <w:top w:val="nil"/>
              <w:left w:val="nil"/>
              <w:bottom w:val="nil"/>
              <w:right w:val="nil"/>
            </w:tcBorders>
            <w:shd w:val="clear" w:color="auto" w:fill="auto"/>
            <w:noWrap/>
            <w:hideMark/>
          </w:tcPr>
          <w:p w:rsidR="00FE5A62" w:rsidRPr="00F627CB" w:rsidRDefault="00FE5A62" w:rsidP="00FE5A62">
            <w:pPr>
              <w:jc w:val="right"/>
            </w:pPr>
            <w:r w:rsidRPr="00F627CB">
              <w:t>73 514</w:t>
            </w:r>
          </w:p>
        </w:tc>
        <w:tc>
          <w:tcPr>
            <w:tcW w:w="419" w:type="pct"/>
            <w:tcBorders>
              <w:top w:val="nil"/>
              <w:left w:val="nil"/>
              <w:bottom w:val="nil"/>
              <w:right w:val="nil"/>
            </w:tcBorders>
            <w:shd w:val="clear" w:color="auto" w:fill="auto"/>
            <w:noWrap/>
            <w:hideMark/>
          </w:tcPr>
          <w:p w:rsidR="00FE5A62" w:rsidRPr="00F627CB" w:rsidRDefault="00FE5A62" w:rsidP="00FE5A62">
            <w:pPr>
              <w:jc w:val="right"/>
            </w:pPr>
            <w:r w:rsidRPr="00F627CB">
              <w:t>25 040</w:t>
            </w:r>
          </w:p>
        </w:tc>
        <w:tc>
          <w:tcPr>
            <w:tcW w:w="533" w:type="pct"/>
            <w:tcBorders>
              <w:top w:val="nil"/>
              <w:left w:val="nil"/>
              <w:bottom w:val="nil"/>
              <w:right w:val="nil"/>
            </w:tcBorders>
            <w:shd w:val="clear" w:color="auto" w:fill="auto"/>
            <w:noWrap/>
            <w:hideMark/>
          </w:tcPr>
          <w:p w:rsidR="00FE5A62" w:rsidRPr="00F627CB" w:rsidRDefault="00FE5A62" w:rsidP="00FE5A62">
            <w:pPr>
              <w:jc w:val="right"/>
            </w:pPr>
            <w:r w:rsidRPr="00F627CB">
              <w:t>2,94</w:t>
            </w:r>
          </w:p>
        </w:tc>
        <w:tc>
          <w:tcPr>
            <w:tcW w:w="717" w:type="pct"/>
            <w:tcBorders>
              <w:top w:val="nil"/>
              <w:left w:val="nil"/>
              <w:bottom w:val="nil"/>
              <w:right w:val="single" w:sz="8" w:space="0" w:color="auto"/>
            </w:tcBorders>
            <w:shd w:val="clear" w:color="auto" w:fill="auto"/>
            <w:noWrap/>
            <w:hideMark/>
          </w:tcPr>
          <w:p w:rsidR="00FE5A62" w:rsidRPr="00F627CB" w:rsidRDefault="00FE5A62" w:rsidP="00FE5A62">
            <w:pPr>
              <w:jc w:val="right"/>
            </w:pPr>
            <w:r w:rsidRPr="00F627CB">
              <w:t>2,9</w:t>
            </w:r>
          </w:p>
        </w:tc>
      </w:tr>
      <w:tr w:rsidR="00FE5A62" w:rsidRPr="007B1241" w:rsidTr="00BF305E">
        <w:trPr>
          <w:gridAfter w:val="2"/>
          <w:wAfter w:w="1187" w:type="pct"/>
          <w:trHeight w:val="300"/>
        </w:trPr>
        <w:tc>
          <w:tcPr>
            <w:tcW w:w="834" w:type="pct"/>
            <w:tcBorders>
              <w:top w:val="nil"/>
              <w:bottom w:val="nil"/>
              <w:right w:val="nil"/>
            </w:tcBorders>
            <w:shd w:val="clear" w:color="auto" w:fill="auto"/>
            <w:noWrap/>
            <w:vAlign w:val="bottom"/>
            <w:hideMark/>
          </w:tcPr>
          <w:p w:rsidR="00FE5A62" w:rsidRPr="002F714E" w:rsidRDefault="00FE5A62" w:rsidP="00FE5A62">
            <w:pPr>
              <w:rPr>
                <w:color w:val="000000"/>
                <w:sz w:val="20"/>
                <w:szCs w:val="20"/>
              </w:rPr>
            </w:pPr>
            <w:r w:rsidRPr="002F714E">
              <w:rPr>
                <w:color w:val="000000"/>
                <w:sz w:val="20"/>
                <w:szCs w:val="20"/>
              </w:rPr>
              <w:t>2 felnőtt 3 gyermekkel</w:t>
            </w:r>
          </w:p>
        </w:tc>
        <w:tc>
          <w:tcPr>
            <w:tcW w:w="477" w:type="pct"/>
            <w:tcBorders>
              <w:top w:val="nil"/>
              <w:left w:val="nil"/>
              <w:bottom w:val="nil"/>
              <w:right w:val="nil"/>
            </w:tcBorders>
            <w:shd w:val="clear" w:color="auto" w:fill="auto"/>
            <w:noWrap/>
            <w:hideMark/>
          </w:tcPr>
          <w:p w:rsidR="00FE5A62" w:rsidRPr="00F627CB" w:rsidRDefault="00FE5A62" w:rsidP="00FE5A62">
            <w:pPr>
              <w:jc w:val="right"/>
            </w:pPr>
            <w:r w:rsidRPr="00F627CB">
              <w:t>334 613</w:t>
            </w:r>
          </w:p>
        </w:tc>
        <w:tc>
          <w:tcPr>
            <w:tcW w:w="417" w:type="pct"/>
            <w:tcBorders>
              <w:top w:val="nil"/>
              <w:left w:val="nil"/>
              <w:bottom w:val="nil"/>
              <w:right w:val="nil"/>
            </w:tcBorders>
            <w:shd w:val="clear" w:color="auto" w:fill="auto"/>
            <w:noWrap/>
            <w:hideMark/>
          </w:tcPr>
          <w:p w:rsidR="00FE5A62" w:rsidRPr="00F627CB" w:rsidRDefault="00FE5A62" w:rsidP="00FE5A62">
            <w:pPr>
              <w:jc w:val="right"/>
            </w:pPr>
            <w:r w:rsidRPr="00F627CB">
              <w:t>122 076</w:t>
            </w:r>
          </w:p>
        </w:tc>
        <w:tc>
          <w:tcPr>
            <w:tcW w:w="416" w:type="pct"/>
            <w:tcBorders>
              <w:top w:val="nil"/>
              <w:left w:val="nil"/>
              <w:bottom w:val="nil"/>
              <w:right w:val="nil"/>
            </w:tcBorders>
            <w:shd w:val="clear" w:color="auto" w:fill="auto"/>
            <w:noWrap/>
            <w:hideMark/>
          </w:tcPr>
          <w:p w:rsidR="00FE5A62" w:rsidRPr="00F627CB" w:rsidRDefault="00FE5A62" w:rsidP="00FE5A62">
            <w:pPr>
              <w:jc w:val="right"/>
            </w:pPr>
            <w:r w:rsidRPr="00F627CB">
              <w:t>66 923</w:t>
            </w:r>
          </w:p>
        </w:tc>
        <w:tc>
          <w:tcPr>
            <w:tcW w:w="419" w:type="pct"/>
            <w:tcBorders>
              <w:top w:val="nil"/>
              <w:left w:val="nil"/>
              <w:bottom w:val="nil"/>
              <w:right w:val="nil"/>
            </w:tcBorders>
            <w:shd w:val="clear" w:color="auto" w:fill="auto"/>
            <w:noWrap/>
            <w:hideMark/>
          </w:tcPr>
          <w:p w:rsidR="00FE5A62" w:rsidRPr="00F627CB" w:rsidRDefault="00FE5A62" w:rsidP="00FE5A62">
            <w:pPr>
              <w:jc w:val="right"/>
            </w:pPr>
            <w:r w:rsidRPr="00F627CB">
              <w:t>24 415</w:t>
            </w:r>
          </w:p>
        </w:tc>
        <w:tc>
          <w:tcPr>
            <w:tcW w:w="533" w:type="pct"/>
            <w:tcBorders>
              <w:top w:val="nil"/>
              <w:left w:val="nil"/>
              <w:bottom w:val="nil"/>
              <w:right w:val="nil"/>
            </w:tcBorders>
            <w:shd w:val="clear" w:color="auto" w:fill="auto"/>
            <w:noWrap/>
            <w:hideMark/>
          </w:tcPr>
          <w:p w:rsidR="00FE5A62" w:rsidRPr="00F627CB" w:rsidRDefault="00FE5A62" w:rsidP="00FE5A62">
            <w:pPr>
              <w:jc w:val="right"/>
            </w:pPr>
            <w:r w:rsidRPr="00F627CB">
              <w:t>2,74</w:t>
            </w:r>
          </w:p>
        </w:tc>
        <w:tc>
          <w:tcPr>
            <w:tcW w:w="717" w:type="pct"/>
            <w:tcBorders>
              <w:top w:val="nil"/>
              <w:left w:val="nil"/>
              <w:bottom w:val="nil"/>
              <w:right w:val="single" w:sz="8" w:space="0" w:color="auto"/>
            </w:tcBorders>
            <w:shd w:val="clear" w:color="auto" w:fill="auto"/>
            <w:noWrap/>
            <w:hideMark/>
          </w:tcPr>
          <w:p w:rsidR="00FE5A62" w:rsidRPr="00F627CB" w:rsidRDefault="00FE5A62" w:rsidP="00FE5A62">
            <w:pPr>
              <w:jc w:val="right"/>
            </w:pPr>
            <w:r w:rsidRPr="00F627CB">
              <w:t>3,3</w:t>
            </w:r>
          </w:p>
        </w:tc>
      </w:tr>
      <w:tr w:rsidR="00FE5A62" w:rsidRPr="007B1241" w:rsidTr="00BF305E">
        <w:trPr>
          <w:gridAfter w:val="2"/>
          <w:wAfter w:w="1187" w:type="pct"/>
          <w:trHeight w:val="300"/>
        </w:trPr>
        <w:tc>
          <w:tcPr>
            <w:tcW w:w="834" w:type="pct"/>
            <w:tcBorders>
              <w:top w:val="nil"/>
              <w:bottom w:val="nil"/>
              <w:right w:val="nil"/>
            </w:tcBorders>
            <w:shd w:val="clear" w:color="auto" w:fill="auto"/>
            <w:noWrap/>
            <w:vAlign w:val="bottom"/>
            <w:hideMark/>
          </w:tcPr>
          <w:p w:rsidR="00FE5A62" w:rsidRPr="002F714E" w:rsidRDefault="00FE5A62" w:rsidP="00FE5A62">
            <w:pPr>
              <w:rPr>
                <w:color w:val="000000"/>
                <w:sz w:val="20"/>
                <w:szCs w:val="20"/>
              </w:rPr>
            </w:pPr>
            <w:r w:rsidRPr="002F714E">
              <w:rPr>
                <w:color w:val="000000"/>
                <w:sz w:val="20"/>
                <w:szCs w:val="20"/>
              </w:rPr>
              <w:t>2 felnőtt 4 gyermekkel</w:t>
            </w:r>
          </w:p>
        </w:tc>
        <w:tc>
          <w:tcPr>
            <w:tcW w:w="477" w:type="pct"/>
            <w:tcBorders>
              <w:top w:val="nil"/>
              <w:left w:val="nil"/>
              <w:bottom w:val="nil"/>
              <w:right w:val="nil"/>
            </w:tcBorders>
            <w:shd w:val="clear" w:color="auto" w:fill="auto"/>
            <w:noWrap/>
            <w:hideMark/>
          </w:tcPr>
          <w:p w:rsidR="00FE5A62" w:rsidRPr="00F627CB" w:rsidRDefault="00FE5A62" w:rsidP="00FE5A62">
            <w:pPr>
              <w:jc w:val="right"/>
            </w:pPr>
            <w:r w:rsidRPr="00F627CB">
              <w:t>375 173</w:t>
            </w:r>
          </w:p>
        </w:tc>
        <w:tc>
          <w:tcPr>
            <w:tcW w:w="417" w:type="pct"/>
            <w:tcBorders>
              <w:top w:val="nil"/>
              <w:left w:val="nil"/>
              <w:bottom w:val="nil"/>
              <w:right w:val="nil"/>
            </w:tcBorders>
            <w:shd w:val="clear" w:color="auto" w:fill="auto"/>
            <w:noWrap/>
            <w:hideMark/>
          </w:tcPr>
          <w:p w:rsidR="00FE5A62" w:rsidRPr="00F627CB" w:rsidRDefault="00FE5A62" w:rsidP="00FE5A62">
            <w:pPr>
              <w:jc w:val="right"/>
            </w:pPr>
            <w:r w:rsidRPr="00F627CB">
              <w:t>143 990</w:t>
            </w:r>
          </w:p>
        </w:tc>
        <w:tc>
          <w:tcPr>
            <w:tcW w:w="416" w:type="pct"/>
            <w:tcBorders>
              <w:top w:val="nil"/>
              <w:left w:val="nil"/>
              <w:bottom w:val="nil"/>
              <w:right w:val="nil"/>
            </w:tcBorders>
            <w:shd w:val="clear" w:color="auto" w:fill="auto"/>
            <w:noWrap/>
            <w:hideMark/>
          </w:tcPr>
          <w:p w:rsidR="00FE5A62" w:rsidRPr="00F627CB" w:rsidRDefault="00FE5A62" w:rsidP="00FE5A62">
            <w:pPr>
              <w:jc w:val="right"/>
            </w:pPr>
            <w:r w:rsidRPr="00F627CB">
              <w:t>62 529</w:t>
            </w:r>
          </w:p>
        </w:tc>
        <w:tc>
          <w:tcPr>
            <w:tcW w:w="419" w:type="pct"/>
            <w:tcBorders>
              <w:top w:val="nil"/>
              <w:left w:val="nil"/>
              <w:bottom w:val="nil"/>
              <w:right w:val="nil"/>
            </w:tcBorders>
            <w:shd w:val="clear" w:color="auto" w:fill="auto"/>
            <w:noWrap/>
            <w:hideMark/>
          </w:tcPr>
          <w:p w:rsidR="00FE5A62" w:rsidRPr="00F627CB" w:rsidRDefault="00FE5A62" w:rsidP="00FE5A62">
            <w:pPr>
              <w:jc w:val="right"/>
            </w:pPr>
            <w:r w:rsidRPr="00F627CB">
              <w:t>23 998</w:t>
            </w:r>
          </w:p>
        </w:tc>
        <w:tc>
          <w:tcPr>
            <w:tcW w:w="533" w:type="pct"/>
            <w:tcBorders>
              <w:top w:val="nil"/>
              <w:left w:val="nil"/>
              <w:bottom w:val="nil"/>
              <w:right w:val="nil"/>
            </w:tcBorders>
            <w:shd w:val="clear" w:color="auto" w:fill="auto"/>
            <w:noWrap/>
            <w:hideMark/>
          </w:tcPr>
          <w:p w:rsidR="00FE5A62" w:rsidRPr="00F627CB" w:rsidRDefault="00FE5A62" w:rsidP="00FE5A62">
            <w:pPr>
              <w:jc w:val="right"/>
            </w:pPr>
            <w:r w:rsidRPr="00F627CB">
              <w:t>2,61</w:t>
            </w:r>
          </w:p>
        </w:tc>
        <w:tc>
          <w:tcPr>
            <w:tcW w:w="717" w:type="pct"/>
            <w:tcBorders>
              <w:top w:val="nil"/>
              <w:left w:val="nil"/>
              <w:bottom w:val="nil"/>
              <w:right w:val="single" w:sz="8" w:space="0" w:color="auto"/>
            </w:tcBorders>
            <w:shd w:val="clear" w:color="auto" w:fill="auto"/>
            <w:noWrap/>
            <w:hideMark/>
          </w:tcPr>
          <w:p w:rsidR="00FE5A62" w:rsidRPr="00F627CB" w:rsidRDefault="00FE5A62" w:rsidP="00FE5A62">
            <w:pPr>
              <w:jc w:val="right"/>
            </w:pPr>
            <w:r w:rsidRPr="00F627CB">
              <w:t>3,7</w:t>
            </w:r>
          </w:p>
        </w:tc>
      </w:tr>
      <w:tr w:rsidR="00FE5A62" w:rsidRPr="007B1241" w:rsidTr="00BF305E">
        <w:trPr>
          <w:gridAfter w:val="2"/>
          <w:wAfter w:w="1187" w:type="pct"/>
          <w:trHeight w:val="300"/>
        </w:trPr>
        <w:tc>
          <w:tcPr>
            <w:tcW w:w="834" w:type="pct"/>
            <w:tcBorders>
              <w:top w:val="nil"/>
              <w:bottom w:val="nil"/>
              <w:right w:val="nil"/>
            </w:tcBorders>
            <w:shd w:val="clear" w:color="auto" w:fill="auto"/>
            <w:noWrap/>
            <w:vAlign w:val="bottom"/>
            <w:hideMark/>
          </w:tcPr>
          <w:p w:rsidR="00FE5A62" w:rsidRPr="002F714E" w:rsidRDefault="00FE5A62" w:rsidP="00FE5A62">
            <w:pPr>
              <w:rPr>
                <w:color w:val="000000"/>
                <w:sz w:val="20"/>
                <w:szCs w:val="20"/>
              </w:rPr>
            </w:pPr>
            <w:r w:rsidRPr="002F714E">
              <w:rPr>
                <w:color w:val="000000"/>
                <w:sz w:val="20"/>
                <w:szCs w:val="20"/>
              </w:rPr>
              <w:t>3 felnőtt</w:t>
            </w:r>
          </w:p>
        </w:tc>
        <w:tc>
          <w:tcPr>
            <w:tcW w:w="477" w:type="pct"/>
            <w:tcBorders>
              <w:top w:val="nil"/>
              <w:left w:val="nil"/>
              <w:bottom w:val="nil"/>
              <w:right w:val="nil"/>
            </w:tcBorders>
            <w:shd w:val="clear" w:color="auto" w:fill="auto"/>
            <w:noWrap/>
            <w:hideMark/>
          </w:tcPr>
          <w:p w:rsidR="00FE5A62" w:rsidRPr="00F627CB" w:rsidRDefault="00FE5A62" w:rsidP="00FE5A62">
            <w:pPr>
              <w:jc w:val="right"/>
            </w:pPr>
            <w:r w:rsidRPr="00F627CB">
              <w:t>253 495</w:t>
            </w:r>
          </w:p>
        </w:tc>
        <w:tc>
          <w:tcPr>
            <w:tcW w:w="417" w:type="pct"/>
            <w:tcBorders>
              <w:top w:val="nil"/>
              <w:left w:val="nil"/>
              <w:bottom w:val="nil"/>
              <w:right w:val="nil"/>
            </w:tcBorders>
            <w:shd w:val="clear" w:color="auto" w:fill="auto"/>
            <w:noWrap/>
            <w:hideMark/>
          </w:tcPr>
          <w:p w:rsidR="00FE5A62" w:rsidRPr="00F627CB" w:rsidRDefault="00FE5A62" w:rsidP="00FE5A62">
            <w:pPr>
              <w:jc w:val="right"/>
            </w:pPr>
            <w:r w:rsidRPr="00F627CB">
              <w:t>84 501</w:t>
            </w:r>
          </w:p>
        </w:tc>
        <w:tc>
          <w:tcPr>
            <w:tcW w:w="416" w:type="pct"/>
            <w:tcBorders>
              <w:top w:val="nil"/>
              <w:left w:val="nil"/>
              <w:bottom w:val="nil"/>
              <w:right w:val="nil"/>
            </w:tcBorders>
            <w:shd w:val="clear" w:color="auto" w:fill="auto"/>
            <w:noWrap/>
            <w:hideMark/>
          </w:tcPr>
          <w:p w:rsidR="00FE5A62" w:rsidRPr="00F627CB" w:rsidRDefault="00FE5A62" w:rsidP="00FE5A62">
            <w:pPr>
              <w:jc w:val="right"/>
            </w:pPr>
            <w:r w:rsidRPr="00F627CB">
              <w:t>84 498</w:t>
            </w:r>
          </w:p>
        </w:tc>
        <w:tc>
          <w:tcPr>
            <w:tcW w:w="419" w:type="pct"/>
            <w:tcBorders>
              <w:top w:val="nil"/>
              <w:left w:val="nil"/>
              <w:bottom w:val="nil"/>
              <w:right w:val="nil"/>
            </w:tcBorders>
            <w:shd w:val="clear" w:color="auto" w:fill="auto"/>
            <w:noWrap/>
            <w:hideMark/>
          </w:tcPr>
          <w:p w:rsidR="00FE5A62" w:rsidRPr="00F627CB" w:rsidRDefault="00FE5A62" w:rsidP="00FE5A62">
            <w:pPr>
              <w:jc w:val="right"/>
            </w:pPr>
            <w:r w:rsidRPr="00F627CB">
              <w:t>28 167</w:t>
            </w:r>
          </w:p>
        </w:tc>
        <w:tc>
          <w:tcPr>
            <w:tcW w:w="533" w:type="pct"/>
            <w:tcBorders>
              <w:top w:val="nil"/>
              <w:left w:val="nil"/>
              <w:bottom w:val="nil"/>
              <w:right w:val="nil"/>
            </w:tcBorders>
            <w:shd w:val="clear" w:color="auto" w:fill="auto"/>
            <w:noWrap/>
            <w:hideMark/>
          </w:tcPr>
          <w:p w:rsidR="00FE5A62" w:rsidRPr="00F627CB" w:rsidRDefault="00FE5A62" w:rsidP="00FE5A62">
            <w:pPr>
              <w:jc w:val="right"/>
            </w:pPr>
            <w:r w:rsidRPr="00F627CB">
              <w:t>3,00</w:t>
            </w:r>
          </w:p>
        </w:tc>
        <w:tc>
          <w:tcPr>
            <w:tcW w:w="717" w:type="pct"/>
            <w:tcBorders>
              <w:top w:val="nil"/>
              <w:left w:val="nil"/>
              <w:bottom w:val="nil"/>
              <w:right w:val="single" w:sz="8" w:space="0" w:color="auto"/>
            </w:tcBorders>
            <w:shd w:val="clear" w:color="auto" w:fill="auto"/>
            <w:noWrap/>
            <w:hideMark/>
          </w:tcPr>
          <w:p w:rsidR="00FE5A62" w:rsidRPr="00F627CB" w:rsidRDefault="00FE5A62" w:rsidP="00FE5A62">
            <w:pPr>
              <w:jc w:val="right"/>
            </w:pPr>
            <w:r w:rsidRPr="00F627CB">
              <w:t>2,5</w:t>
            </w:r>
          </w:p>
        </w:tc>
      </w:tr>
      <w:tr w:rsidR="00FE5A62" w:rsidRPr="007B1241" w:rsidTr="00BF305E">
        <w:trPr>
          <w:gridAfter w:val="2"/>
          <w:wAfter w:w="1187" w:type="pct"/>
          <w:trHeight w:val="300"/>
        </w:trPr>
        <w:tc>
          <w:tcPr>
            <w:tcW w:w="834" w:type="pct"/>
            <w:tcBorders>
              <w:top w:val="nil"/>
              <w:bottom w:val="nil"/>
              <w:right w:val="nil"/>
            </w:tcBorders>
            <w:shd w:val="clear" w:color="auto" w:fill="auto"/>
            <w:noWrap/>
            <w:vAlign w:val="bottom"/>
            <w:hideMark/>
          </w:tcPr>
          <w:p w:rsidR="00FE5A62" w:rsidRPr="002F714E" w:rsidRDefault="00FE5A62" w:rsidP="00FE5A62">
            <w:pPr>
              <w:rPr>
                <w:color w:val="000000"/>
                <w:sz w:val="20"/>
                <w:szCs w:val="20"/>
              </w:rPr>
            </w:pPr>
            <w:r w:rsidRPr="002F714E">
              <w:rPr>
                <w:color w:val="000000"/>
                <w:sz w:val="20"/>
                <w:szCs w:val="20"/>
              </w:rPr>
              <w:t>3 felnőtt 1 gyermekkel</w:t>
            </w:r>
          </w:p>
        </w:tc>
        <w:tc>
          <w:tcPr>
            <w:tcW w:w="477" w:type="pct"/>
            <w:tcBorders>
              <w:top w:val="nil"/>
              <w:left w:val="nil"/>
              <w:bottom w:val="nil"/>
              <w:right w:val="nil"/>
            </w:tcBorders>
            <w:shd w:val="clear" w:color="auto" w:fill="auto"/>
            <w:noWrap/>
            <w:hideMark/>
          </w:tcPr>
          <w:p w:rsidR="00FE5A62" w:rsidRPr="00F627CB" w:rsidRDefault="00FE5A62" w:rsidP="00FE5A62">
            <w:pPr>
              <w:jc w:val="right"/>
            </w:pPr>
            <w:r w:rsidRPr="00F627CB">
              <w:t>319 404</w:t>
            </w:r>
          </w:p>
        </w:tc>
        <w:tc>
          <w:tcPr>
            <w:tcW w:w="417" w:type="pct"/>
            <w:tcBorders>
              <w:top w:val="nil"/>
              <w:left w:val="nil"/>
              <w:bottom w:val="nil"/>
              <w:right w:val="nil"/>
            </w:tcBorders>
            <w:shd w:val="clear" w:color="auto" w:fill="auto"/>
            <w:noWrap/>
            <w:hideMark/>
          </w:tcPr>
          <w:p w:rsidR="00FE5A62" w:rsidRPr="00F627CB" w:rsidRDefault="00FE5A62" w:rsidP="00FE5A62">
            <w:pPr>
              <w:jc w:val="right"/>
            </w:pPr>
            <w:r w:rsidRPr="00F627CB">
              <w:t>106 415</w:t>
            </w:r>
          </w:p>
        </w:tc>
        <w:tc>
          <w:tcPr>
            <w:tcW w:w="416" w:type="pct"/>
            <w:tcBorders>
              <w:top w:val="nil"/>
              <w:left w:val="nil"/>
              <w:bottom w:val="nil"/>
              <w:right w:val="nil"/>
            </w:tcBorders>
            <w:shd w:val="clear" w:color="auto" w:fill="auto"/>
            <w:noWrap/>
            <w:hideMark/>
          </w:tcPr>
          <w:p w:rsidR="00FE5A62" w:rsidRPr="00F627CB" w:rsidRDefault="00FE5A62" w:rsidP="00FE5A62">
            <w:pPr>
              <w:jc w:val="right"/>
            </w:pPr>
            <w:r w:rsidRPr="00F627CB">
              <w:t>79 851</w:t>
            </w:r>
          </w:p>
        </w:tc>
        <w:tc>
          <w:tcPr>
            <w:tcW w:w="419" w:type="pct"/>
            <w:tcBorders>
              <w:top w:val="nil"/>
              <w:left w:val="nil"/>
              <w:bottom w:val="nil"/>
              <w:right w:val="nil"/>
            </w:tcBorders>
            <w:shd w:val="clear" w:color="auto" w:fill="auto"/>
            <w:noWrap/>
            <w:hideMark/>
          </w:tcPr>
          <w:p w:rsidR="00FE5A62" w:rsidRPr="00F627CB" w:rsidRDefault="00FE5A62" w:rsidP="00FE5A62">
            <w:pPr>
              <w:jc w:val="right"/>
            </w:pPr>
            <w:r w:rsidRPr="00F627CB">
              <w:t>26 604</w:t>
            </w:r>
          </w:p>
        </w:tc>
        <w:tc>
          <w:tcPr>
            <w:tcW w:w="533" w:type="pct"/>
            <w:tcBorders>
              <w:top w:val="nil"/>
              <w:left w:val="nil"/>
              <w:bottom w:val="nil"/>
              <w:right w:val="nil"/>
            </w:tcBorders>
            <w:shd w:val="clear" w:color="auto" w:fill="auto"/>
            <w:noWrap/>
            <w:hideMark/>
          </w:tcPr>
          <w:p w:rsidR="00FE5A62" w:rsidRPr="00F627CB" w:rsidRDefault="00FE5A62" w:rsidP="00FE5A62">
            <w:pPr>
              <w:jc w:val="right"/>
            </w:pPr>
            <w:r w:rsidRPr="00F627CB">
              <w:t>3,00</w:t>
            </w:r>
          </w:p>
        </w:tc>
        <w:tc>
          <w:tcPr>
            <w:tcW w:w="717" w:type="pct"/>
            <w:tcBorders>
              <w:top w:val="nil"/>
              <w:left w:val="nil"/>
              <w:bottom w:val="nil"/>
              <w:right w:val="single" w:sz="8" w:space="0" w:color="auto"/>
            </w:tcBorders>
            <w:shd w:val="clear" w:color="auto" w:fill="auto"/>
            <w:noWrap/>
            <w:hideMark/>
          </w:tcPr>
          <w:p w:rsidR="00FE5A62" w:rsidRPr="00F627CB" w:rsidRDefault="00FE5A62" w:rsidP="00FE5A62">
            <w:pPr>
              <w:jc w:val="right"/>
            </w:pPr>
            <w:r w:rsidRPr="00F627CB">
              <w:t>3,15</w:t>
            </w:r>
          </w:p>
        </w:tc>
      </w:tr>
      <w:tr w:rsidR="00FE5A62" w:rsidRPr="007B1241" w:rsidTr="00BF305E">
        <w:trPr>
          <w:gridAfter w:val="2"/>
          <w:wAfter w:w="1187" w:type="pct"/>
          <w:trHeight w:val="300"/>
        </w:trPr>
        <w:tc>
          <w:tcPr>
            <w:tcW w:w="834" w:type="pct"/>
            <w:tcBorders>
              <w:top w:val="nil"/>
              <w:bottom w:val="nil"/>
              <w:right w:val="nil"/>
            </w:tcBorders>
            <w:shd w:val="clear" w:color="auto" w:fill="auto"/>
            <w:noWrap/>
            <w:vAlign w:val="bottom"/>
            <w:hideMark/>
          </w:tcPr>
          <w:p w:rsidR="00FE5A62" w:rsidRPr="002F714E" w:rsidRDefault="00FE5A62" w:rsidP="00FE5A62">
            <w:pPr>
              <w:rPr>
                <w:color w:val="000000"/>
                <w:sz w:val="20"/>
                <w:szCs w:val="20"/>
              </w:rPr>
            </w:pPr>
            <w:r w:rsidRPr="002F714E">
              <w:rPr>
                <w:color w:val="000000"/>
                <w:sz w:val="20"/>
                <w:szCs w:val="20"/>
              </w:rPr>
              <w:t>3 felnőtt 2 gyermekkel</w:t>
            </w:r>
          </w:p>
        </w:tc>
        <w:tc>
          <w:tcPr>
            <w:tcW w:w="477" w:type="pct"/>
            <w:tcBorders>
              <w:top w:val="nil"/>
              <w:left w:val="nil"/>
              <w:bottom w:val="nil"/>
              <w:right w:val="nil"/>
            </w:tcBorders>
            <w:shd w:val="clear" w:color="auto" w:fill="auto"/>
            <w:noWrap/>
            <w:hideMark/>
          </w:tcPr>
          <w:p w:rsidR="00FE5A62" w:rsidRPr="00F627CB" w:rsidRDefault="00FE5A62" w:rsidP="00FE5A62">
            <w:pPr>
              <w:jc w:val="right"/>
            </w:pPr>
            <w:r w:rsidRPr="00F627CB">
              <w:t>370 103</w:t>
            </w:r>
          </w:p>
        </w:tc>
        <w:tc>
          <w:tcPr>
            <w:tcW w:w="417" w:type="pct"/>
            <w:tcBorders>
              <w:top w:val="nil"/>
              <w:left w:val="nil"/>
              <w:bottom w:val="nil"/>
              <w:right w:val="nil"/>
            </w:tcBorders>
            <w:shd w:val="clear" w:color="auto" w:fill="auto"/>
            <w:noWrap/>
            <w:hideMark/>
          </w:tcPr>
          <w:p w:rsidR="00FE5A62" w:rsidRPr="00F627CB" w:rsidRDefault="00FE5A62" w:rsidP="00FE5A62">
            <w:pPr>
              <w:jc w:val="right"/>
            </w:pPr>
            <w:r w:rsidRPr="00F627CB">
              <w:t>128 329</w:t>
            </w:r>
          </w:p>
        </w:tc>
        <w:tc>
          <w:tcPr>
            <w:tcW w:w="416" w:type="pct"/>
            <w:tcBorders>
              <w:top w:val="nil"/>
              <w:left w:val="nil"/>
              <w:bottom w:val="nil"/>
              <w:right w:val="nil"/>
            </w:tcBorders>
            <w:shd w:val="clear" w:color="auto" w:fill="auto"/>
            <w:noWrap/>
            <w:hideMark/>
          </w:tcPr>
          <w:p w:rsidR="00FE5A62" w:rsidRPr="00F627CB" w:rsidRDefault="00FE5A62" w:rsidP="00FE5A62">
            <w:pPr>
              <w:jc w:val="right"/>
            </w:pPr>
            <w:r w:rsidRPr="00F627CB">
              <w:t>74 021</w:t>
            </w:r>
          </w:p>
        </w:tc>
        <w:tc>
          <w:tcPr>
            <w:tcW w:w="419" w:type="pct"/>
            <w:tcBorders>
              <w:top w:val="nil"/>
              <w:left w:val="nil"/>
              <w:bottom w:val="nil"/>
              <w:right w:val="nil"/>
            </w:tcBorders>
            <w:shd w:val="clear" w:color="auto" w:fill="auto"/>
            <w:noWrap/>
            <w:hideMark/>
          </w:tcPr>
          <w:p w:rsidR="00FE5A62" w:rsidRPr="00F627CB" w:rsidRDefault="00FE5A62" w:rsidP="00FE5A62">
            <w:pPr>
              <w:jc w:val="right"/>
            </w:pPr>
            <w:r w:rsidRPr="00F627CB">
              <w:t>25 666</w:t>
            </w:r>
          </w:p>
        </w:tc>
        <w:tc>
          <w:tcPr>
            <w:tcW w:w="533" w:type="pct"/>
            <w:tcBorders>
              <w:top w:val="nil"/>
              <w:left w:val="nil"/>
              <w:bottom w:val="nil"/>
              <w:right w:val="nil"/>
            </w:tcBorders>
            <w:shd w:val="clear" w:color="auto" w:fill="auto"/>
            <w:noWrap/>
            <w:hideMark/>
          </w:tcPr>
          <w:p w:rsidR="00FE5A62" w:rsidRPr="00F627CB" w:rsidRDefault="00FE5A62" w:rsidP="00FE5A62">
            <w:pPr>
              <w:jc w:val="right"/>
            </w:pPr>
            <w:r w:rsidRPr="00F627CB">
              <w:t>2,88</w:t>
            </w:r>
          </w:p>
        </w:tc>
        <w:tc>
          <w:tcPr>
            <w:tcW w:w="717" w:type="pct"/>
            <w:tcBorders>
              <w:top w:val="nil"/>
              <w:left w:val="nil"/>
              <w:bottom w:val="nil"/>
              <w:right w:val="single" w:sz="8" w:space="0" w:color="auto"/>
            </w:tcBorders>
            <w:shd w:val="clear" w:color="auto" w:fill="auto"/>
            <w:noWrap/>
            <w:hideMark/>
          </w:tcPr>
          <w:p w:rsidR="00FE5A62" w:rsidRPr="00F627CB" w:rsidRDefault="00FE5A62" w:rsidP="00FE5A62">
            <w:pPr>
              <w:jc w:val="right"/>
            </w:pPr>
            <w:r w:rsidRPr="00F627CB">
              <w:t>3,65</w:t>
            </w:r>
          </w:p>
        </w:tc>
      </w:tr>
      <w:tr w:rsidR="00FE5A62" w:rsidRPr="007B1241" w:rsidTr="00BF305E">
        <w:trPr>
          <w:gridAfter w:val="2"/>
          <w:wAfter w:w="1187" w:type="pct"/>
          <w:trHeight w:val="300"/>
        </w:trPr>
        <w:tc>
          <w:tcPr>
            <w:tcW w:w="834" w:type="pct"/>
            <w:tcBorders>
              <w:top w:val="nil"/>
              <w:bottom w:val="nil"/>
              <w:right w:val="nil"/>
            </w:tcBorders>
            <w:shd w:val="clear" w:color="auto" w:fill="auto"/>
            <w:noWrap/>
            <w:vAlign w:val="bottom"/>
            <w:hideMark/>
          </w:tcPr>
          <w:p w:rsidR="00FE5A62" w:rsidRPr="002F714E" w:rsidRDefault="00FE5A62" w:rsidP="00FE5A62">
            <w:pPr>
              <w:rPr>
                <w:color w:val="000000"/>
                <w:sz w:val="20"/>
                <w:szCs w:val="20"/>
              </w:rPr>
            </w:pPr>
            <w:r w:rsidRPr="002F714E">
              <w:rPr>
                <w:color w:val="000000"/>
                <w:sz w:val="20"/>
                <w:szCs w:val="20"/>
              </w:rPr>
              <w:t>3 felnőtt 3 gyermekkel</w:t>
            </w:r>
          </w:p>
        </w:tc>
        <w:tc>
          <w:tcPr>
            <w:tcW w:w="477" w:type="pct"/>
            <w:tcBorders>
              <w:top w:val="nil"/>
              <w:left w:val="nil"/>
              <w:bottom w:val="nil"/>
              <w:right w:val="nil"/>
            </w:tcBorders>
            <w:shd w:val="clear" w:color="auto" w:fill="auto"/>
            <w:noWrap/>
            <w:hideMark/>
          </w:tcPr>
          <w:p w:rsidR="00FE5A62" w:rsidRPr="00F627CB" w:rsidRDefault="00FE5A62" w:rsidP="00FE5A62">
            <w:pPr>
              <w:jc w:val="right"/>
            </w:pPr>
            <w:r w:rsidRPr="00F627CB">
              <w:t>410 662</w:t>
            </w:r>
          </w:p>
        </w:tc>
        <w:tc>
          <w:tcPr>
            <w:tcW w:w="417" w:type="pct"/>
            <w:tcBorders>
              <w:top w:val="nil"/>
              <w:left w:val="nil"/>
              <w:bottom w:val="nil"/>
              <w:right w:val="nil"/>
            </w:tcBorders>
            <w:shd w:val="clear" w:color="auto" w:fill="auto"/>
            <w:noWrap/>
            <w:hideMark/>
          </w:tcPr>
          <w:p w:rsidR="00FE5A62" w:rsidRPr="00F627CB" w:rsidRDefault="00FE5A62" w:rsidP="00FE5A62">
            <w:pPr>
              <w:jc w:val="right"/>
            </w:pPr>
            <w:r w:rsidRPr="00F627CB">
              <w:t>150 243</w:t>
            </w:r>
          </w:p>
        </w:tc>
        <w:tc>
          <w:tcPr>
            <w:tcW w:w="416" w:type="pct"/>
            <w:tcBorders>
              <w:top w:val="nil"/>
              <w:left w:val="nil"/>
              <w:bottom w:val="nil"/>
              <w:right w:val="nil"/>
            </w:tcBorders>
            <w:shd w:val="clear" w:color="auto" w:fill="auto"/>
            <w:noWrap/>
            <w:hideMark/>
          </w:tcPr>
          <w:p w:rsidR="00FE5A62" w:rsidRPr="00F627CB" w:rsidRDefault="00FE5A62" w:rsidP="00FE5A62">
            <w:pPr>
              <w:jc w:val="right"/>
            </w:pPr>
            <w:r w:rsidRPr="00F627CB">
              <w:t>68 444</w:t>
            </w:r>
          </w:p>
        </w:tc>
        <w:tc>
          <w:tcPr>
            <w:tcW w:w="419" w:type="pct"/>
            <w:tcBorders>
              <w:top w:val="nil"/>
              <w:left w:val="nil"/>
              <w:bottom w:val="nil"/>
              <w:right w:val="nil"/>
            </w:tcBorders>
            <w:shd w:val="clear" w:color="auto" w:fill="auto"/>
            <w:noWrap/>
            <w:hideMark/>
          </w:tcPr>
          <w:p w:rsidR="00FE5A62" w:rsidRPr="00F627CB" w:rsidRDefault="00FE5A62" w:rsidP="00FE5A62">
            <w:pPr>
              <w:jc w:val="right"/>
            </w:pPr>
            <w:r w:rsidRPr="00F627CB">
              <w:t>25 040</w:t>
            </w:r>
          </w:p>
        </w:tc>
        <w:tc>
          <w:tcPr>
            <w:tcW w:w="533" w:type="pct"/>
            <w:tcBorders>
              <w:top w:val="nil"/>
              <w:left w:val="nil"/>
              <w:bottom w:val="nil"/>
              <w:right w:val="nil"/>
            </w:tcBorders>
            <w:shd w:val="clear" w:color="auto" w:fill="auto"/>
            <w:noWrap/>
            <w:hideMark/>
          </w:tcPr>
          <w:p w:rsidR="00FE5A62" w:rsidRPr="00F627CB" w:rsidRDefault="00FE5A62" w:rsidP="00FE5A62">
            <w:pPr>
              <w:jc w:val="right"/>
            </w:pPr>
            <w:r w:rsidRPr="00F627CB">
              <w:t>2,73</w:t>
            </w:r>
          </w:p>
        </w:tc>
        <w:tc>
          <w:tcPr>
            <w:tcW w:w="717" w:type="pct"/>
            <w:tcBorders>
              <w:top w:val="nil"/>
              <w:left w:val="nil"/>
              <w:bottom w:val="nil"/>
              <w:right w:val="single" w:sz="8" w:space="0" w:color="auto"/>
            </w:tcBorders>
            <w:shd w:val="clear" w:color="auto" w:fill="auto"/>
            <w:noWrap/>
            <w:hideMark/>
          </w:tcPr>
          <w:p w:rsidR="00FE5A62" w:rsidRPr="00F627CB" w:rsidRDefault="00FE5A62" w:rsidP="00FE5A62">
            <w:pPr>
              <w:jc w:val="right"/>
            </w:pPr>
            <w:r w:rsidRPr="00F627CB">
              <w:t>4,05</w:t>
            </w:r>
          </w:p>
        </w:tc>
      </w:tr>
      <w:tr w:rsidR="00FE5A62" w:rsidRPr="007B1241" w:rsidTr="00BF305E">
        <w:trPr>
          <w:gridAfter w:val="2"/>
          <w:wAfter w:w="1187" w:type="pct"/>
          <w:trHeight w:val="300"/>
        </w:trPr>
        <w:tc>
          <w:tcPr>
            <w:tcW w:w="834" w:type="pct"/>
            <w:tcBorders>
              <w:top w:val="nil"/>
              <w:bottom w:val="nil"/>
              <w:right w:val="nil"/>
            </w:tcBorders>
            <w:shd w:val="clear" w:color="auto" w:fill="auto"/>
            <w:noWrap/>
            <w:vAlign w:val="bottom"/>
            <w:hideMark/>
          </w:tcPr>
          <w:p w:rsidR="00FE5A62" w:rsidRPr="002F714E" w:rsidRDefault="00FE5A62" w:rsidP="00FE5A62">
            <w:pPr>
              <w:rPr>
                <w:color w:val="000000"/>
                <w:sz w:val="20"/>
                <w:szCs w:val="20"/>
              </w:rPr>
            </w:pPr>
            <w:r w:rsidRPr="002F714E">
              <w:rPr>
                <w:color w:val="000000"/>
                <w:sz w:val="20"/>
                <w:szCs w:val="20"/>
              </w:rPr>
              <w:t>3 felnőtt 4 gyermekkel</w:t>
            </w:r>
          </w:p>
        </w:tc>
        <w:tc>
          <w:tcPr>
            <w:tcW w:w="477" w:type="pct"/>
            <w:tcBorders>
              <w:top w:val="nil"/>
              <w:left w:val="nil"/>
              <w:bottom w:val="nil"/>
              <w:right w:val="nil"/>
            </w:tcBorders>
            <w:shd w:val="clear" w:color="auto" w:fill="auto"/>
            <w:noWrap/>
            <w:hideMark/>
          </w:tcPr>
          <w:p w:rsidR="00FE5A62" w:rsidRPr="00F627CB" w:rsidRDefault="00FE5A62" w:rsidP="00FE5A62">
            <w:pPr>
              <w:jc w:val="right"/>
            </w:pPr>
            <w:r w:rsidRPr="00F627CB">
              <w:t>451 221</w:t>
            </w:r>
          </w:p>
        </w:tc>
        <w:tc>
          <w:tcPr>
            <w:tcW w:w="417" w:type="pct"/>
            <w:tcBorders>
              <w:top w:val="nil"/>
              <w:left w:val="nil"/>
              <w:bottom w:val="nil"/>
              <w:right w:val="nil"/>
            </w:tcBorders>
            <w:shd w:val="clear" w:color="auto" w:fill="auto"/>
            <w:noWrap/>
            <w:hideMark/>
          </w:tcPr>
          <w:p w:rsidR="00FE5A62" w:rsidRPr="00F627CB" w:rsidRDefault="00FE5A62" w:rsidP="00FE5A62">
            <w:pPr>
              <w:jc w:val="right"/>
            </w:pPr>
            <w:r w:rsidRPr="00F627CB">
              <w:t>172 157</w:t>
            </w:r>
          </w:p>
        </w:tc>
        <w:tc>
          <w:tcPr>
            <w:tcW w:w="416" w:type="pct"/>
            <w:tcBorders>
              <w:top w:val="nil"/>
              <w:left w:val="nil"/>
              <w:bottom w:val="nil"/>
              <w:right w:val="nil"/>
            </w:tcBorders>
            <w:shd w:val="clear" w:color="auto" w:fill="auto"/>
            <w:noWrap/>
            <w:hideMark/>
          </w:tcPr>
          <w:p w:rsidR="00FE5A62" w:rsidRPr="00F627CB" w:rsidRDefault="00FE5A62" w:rsidP="00FE5A62">
            <w:pPr>
              <w:jc w:val="right"/>
            </w:pPr>
            <w:r w:rsidRPr="00F627CB">
              <w:t>64 460</w:t>
            </w:r>
          </w:p>
        </w:tc>
        <w:tc>
          <w:tcPr>
            <w:tcW w:w="419" w:type="pct"/>
            <w:tcBorders>
              <w:top w:val="nil"/>
              <w:left w:val="nil"/>
              <w:bottom w:val="nil"/>
              <w:right w:val="nil"/>
            </w:tcBorders>
            <w:shd w:val="clear" w:color="auto" w:fill="auto"/>
            <w:noWrap/>
            <w:hideMark/>
          </w:tcPr>
          <w:p w:rsidR="00FE5A62" w:rsidRPr="00F627CB" w:rsidRDefault="00FE5A62" w:rsidP="00FE5A62">
            <w:pPr>
              <w:jc w:val="right"/>
            </w:pPr>
            <w:r w:rsidRPr="00F627CB">
              <w:t>24 594</w:t>
            </w:r>
          </w:p>
        </w:tc>
        <w:tc>
          <w:tcPr>
            <w:tcW w:w="533" w:type="pct"/>
            <w:tcBorders>
              <w:top w:val="nil"/>
              <w:left w:val="nil"/>
              <w:bottom w:val="nil"/>
              <w:right w:val="nil"/>
            </w:tcBorders>
            <w:shd w:val="clear" w:color="auto" w:fill="auto"/>
            <w:noWrap/>
            <w:hideMark/>
          </w:tcPr>
          <w:p w:rsidR="00FE5A62" w:rsidRPr="00F627CB" w:rsidRDefault="00FE5A62" w:rsidP="00FE5A62">
            <w:pPr>
              <w:jc w:val="right"/>
            </w:pPr>
            <w:r w:rsidRPr="00F627CB">
              <w:t>2,62</w:t>
            </w:r>
          </w:p>
        </w:tc>
        <w:tc>
          <w:tcPr>
            <w:tcW w:w="717" w:type="pct"/>
            <w:tcBorders>
              <w:top w:val="nil"/>
              <w:left w:val="nil"/>
              <w:bottom w:val="nil"/>
              <w:right w:val="single" w:sz="8" w:space="0" w:color="auto"/>
            </w:tcBorders>
            <w:shd w:val="clear" w:color="auto" w:fill="auto"/>
            <w:noWrap/>
            <w:hideMark/>
          </w:tcPr>
          <w:p w:rsidR="00FE5A62" w:rsidRDefault="00FE5A62" w:rsidP="00FE5A62">
            <w:pPr>
              <w:jc w:val="right"/>
            </w:pPr>
            <w:r w:rsidRPr="00F627CB">
              <w:t>4,45</w:t>
            </w:r>
          </w:p>
        </w:tc>
      </w:tr>
      <w:tr w:rsidR="00570E12" w:rsidRPr="007B1241" w:rsidTr="00570E12">
        <w:trPr>
          <w:gridAfter w:val="2"/>
          <w:wAfter w:w="1187" w:type="pct"/>
          <w:trHeight w:val="300"/>
        </w:trPr>
        <w:tc>
          <w:tcPr>
            <w:tcW w:w="3813" w:type="pct"/>
            <w:gridSpan w:val="7"/>
            <w:tcBorders>
              <w:top w:val="nil"/>
              <w:bottom w:val="nil"/>
            </w:tcBorders>
            <w:shd w:val="clear" w:color="auto" w:fill="auto"/>
            <w:noWrap/>
            <w:vAlign w:val="bottom"/>
            <w:hideMark/>
          </w:tcPr>
          <w:p w:rsidR="00570E12" w:rsidRPr="007B1241" w:rsidRDefault="00570E12" w:rsidP="00A35D87">
            <w:pPr>
              <w:spacing w:after="0" w:line="240" w:lineRule="auto"/>
              <w:jc w:val="center"/>
              <w:rPr>
                <w:rFonts w:eastAsia="Times New Roman" w:cs="Times New Roman"/>
                <w:b/>
                <w:sz w:val="20"/>
                <w:szCs w:val="20"/>
                <w:lang w:eastAsia="hu-HU"/>
              </w:rPr>
            </w:pPr>
          </w:p>
          <w:p w:rsidR="00570E12" w:rsidRPr="007B1241" w:rsidRDefault="00570E12" w:rsidP="00A35D87">
            <w:pPr>
              <w:spacing w:after="0" w:line="240" w:lineRule="auto"/>
              <w:jc w:val="center"/>
              <w:rPr>
                <w:rFonts w:eastAsia="Times New Roman" w:cs="Times New Roman"/>
                <w:b/>
                <w:sz w:val="20"/>
                <w:szCs w:val="20"/>
                <w:lang w:eastAsia="hu-HU"/>
              </w:rPr>
            </w:pPr>
            <w:r w:rsidRPr="007B1241">
              <w:rPr>
                <w:rFonts w:eastAsia="Times New Roman" w:cs="Times New Roman"/>
                <w:b/>
                <w:sz w:val="20"/>
                <w:szCs w:val="20"/>
                <w:lang w:eastAsia="hu-HU"/>
              </w:rPr>
              <w:t>Nyugdíjas korúak háztartásai</w:t>
            </w:r>
          </w:p>
          <w:p w:rsidR="00570E12" w:rsidRPr="007B1241" w:rsidRDefault="00570E12" w:rsidP="00A35D87">
            <w:pPr>
              <w:spacing w:after="0" w:line="240" w:lineRule="auto"/>
              <w:jc w:val="center"/>
              <w:rPr>
                <w:rFonts w:eastAsia="Times New Roman" w:cs="Times New Roman"/>
                <w:b/>
                <w:sz w:val="20"/>
                <w:szCs w:val="20"/>
                <w:lang w:eastAsia="hu-HU"/>
              </w:rPr>
            </w:pPr>
          </w:p>
        </w:tc>
      </w:tr>
      <w:tr w:rsidR="00FE5A62" w:rsidRPr="007B1241" w:rsidTr="00BF305E">
        <w:trPr>
          <w:gridAfter w:val="2"/>
          <w:wAfter w:w="1187" w:type="pct"/>
          <w:trHeight w:val="300"/>
        </w:trPr>
        <w:tc>
          <w:tcPr>
            <w:tcW w:w="834" w:type="pct"/>
            <w:tcBorders>
              <w:top w:val="nil"/>
              <w:bottom w:val="nil"/>
              <w:right w:val="nil"/>
            </w:tcBorders>
            <w:shd w:val="clear" w:color="auto" w:fill="auto"/>
            <w:noWrap/>
            <w:vAlign w:val="bottom"/>
            <w:hideMark/>
          </w:tcPr>
          <w:p w:rsidR="00FE5A62" w:rsidRPr="002F714E" w:rsidRDefault="00FE5A62" w:rsidP="00FE5A62">
            <w:pPr>
              <w:rPr>
                <w:color w:val="000000"/>
                <w:sz w:val="20"/>
                <w:szCs w:val="20"/>
              </w:rPr>
            </w:pPr>
            <w:r w:rsidRPr="002F714E">
              <w:rPr>
                <w:color w:val="000000"/>
                <w:sz w:val="20"/>
                <w:szCs w:val="20"/>
              </w:rPr>
              <w:t>1 személy</w:t>
            </w:r>
          </w:p>
        </w:tc>
        <w:tc>
          <w:tcPr>
            <w:tcW w:w="477" w:type="pct"/>
            <w:tcBorders>
              <w:top w:val="nil"/>
              <w:left w:val="nil"/>
              <w:bottom w:val="nil"/>
              <w:right w:val="nil"/>
            </w:tcBorders>
            <w:shd w:val="clear" w:color="auto" w:fill="auto"/>
            <w:noWrap/>
            <w:hideMark/>
          </w:tcPr>
          <w:p w:rsidR="00FE5A62" w:rsidRPr="0087685D" w:rsidRDefault="00FE5A62" w:rsidP="00FE5A62">
            <w:pPr>
              <w:jc w:val="right"/>
            </w:pPr>
            <w:r w:rsidRPr="0087685D">
              <w:t>91 258</w:t>
            </w:r>
          </w:p>
        </w:tc>
        <w:tc>
          <w:tcPr>
            <w:tcW w:w="417" w:type="pct"/>
            <w:tcBorders>
              <w:top w:val="nil"/>
              <w:left w:val="nil"/>
              <w:bottom w:val="nil"/>
              <w:right w:val="nil"/>
            </w:tcBorders>
            <w:shd w:val="clear" w:color="auto" w:fill="auto"/>
            <w:noWrap/>
            <w:hideMark/>
          </w:tcPr>
          <w:p w:rsidR="00FE5A62" w:rsidRPr="0087685D" w:rsidRDefault="00FE5A62" w:rsidP="00FE5A62">
            <w:pPr>
              <w:jc w:val="right"/>
            </w:pPr>
            <w:r w:rsidRPr="0087685D">
              <w:t>24 843</w:t>
            </w:r>
          </w:p>
        </w:tc>
        <w:tc>
          <w:tcPr>
            <w:tcW w:w="416" w:type="pct"/>
            <w:tcBorders>
              <w:top w:val="nil"/>
              <w:left w:val="nil"/>
              <w:bottom w:val="nil"/>
              <w:right w:val="nil"/>
            </w:tcBorders>
            <w:shd w:val="clear" w:color="auto" w:fill="auto"/>
            <w:noWrap/>
            <w:hideMark/>
          </w:tcPr>
          <w:p w:rsidR="00FE5A62" w:rsidRPr="0087685D" w:rsidRDefault="00FE5A62" w:rsidP="00FE5A62">
            <w:pPr>
              <w:jc w:val="right"/>
            </w:pPr>
            <w:r w:rsidRPr="0087685D">
              <w:t>91 258</w:t>
            </w:r>
          </w:p>
        </w:tc>
        <w:tc>
          <w:tcPr>
            <w:tcW w:w="419" w:type="pct"/>
            <w:tcBorders>
              <w:top w:val="nil"/>
              <w:left w:val="nil"/>
              <w:bottom w:val="nil"/>
              <w:right w:val="nil"/>
            </w:tcBorders>
            <w:shd w:val="clear" w:color="auto" w:fill="auto"/>
            <w:noWrap/>
            <w:hideMark/>
          </w:tcPr>
          <w:p w:rsidR="00FE5A62" w:rsidRPr="0087685D" w:rsidRDefault="00FE5A62" w:rsidP="00FE5A62">
            <w:pPr>
              <w:jc w:val="right"/>
            </w:pPr>
            <w:r w:rsidRPr="0087685D">
              <w:t>24 843</w:t>
            </w:r>
          </w:p>
        </w:tc>
        <w:tc>
          <w:tcPr>
            <w:tcW w:w="533" w:type="pct"/>
            <w:tcBorders>
              <w:top w:val="nil"/>
              <w:left w:val="nil"/>
              <w:bottom w:val="nil"/>
              <w:right w:val="nil"/>
            </w:tcBorders>
            <w:shd w:val="clear" w:color="auto" w:fill="auto"/>
            <w:noWrap/>
            <w:hideMark/>
          </w:tcPr>
          <w:p w:rsidR="00FE5A62" w:rsidRPr="0087685D" w:rsidRDefault="00FE5A62" w:rsidP="00FE5A62">
            <w:pPr>
              <w:jc w:val="right"/>
            </w:pPr>
            <w:r w:rsidRPr="0087685D">
              <w:t>3,67</w:t>
            </w:r>
          </w:p>
        </w:tc>
        <w:tc>
          <w:tcPr>
            <w:tcW w:w="717" w:type="pct"/>
            <w:tcBorders>
              <w:top w:val="nil"/>
              <w:left w:val="nil"/>
              <w:bottom w:val="nil"/>
              <w:right w:val="single" w:sz="8" w:space="0" w:color="auto"/>
            </w:tcBorders>
            <w:shd w:val="clear" w:color="auto" w:fill="auto"/>
            <w:noWrap/>
            <w:hideMark/>
          </w:tcPr>
          <w:p w:rsidR="00FE5A62" w:rsidRPr="0087685D" w:rsidRDefault="00FE5A62" w:rsidP="00FE5A62">
            <w:pPr>
              <w:jc w:val="right"/>
            </w:pPr>
            <w:r w:rsidRPr="0087685D">
              <w:t>0,9</w:t>
            </w:r>
          </w:p>
        </w:tc>
      </w:tr>
      <w:tr w:rsidR="00FE5A62" w:rsidRPr="007B1241" w:rsidTr="00BF305E">
        <w:trPr>
          <w:gridAfter w:val="2"/>
          <w:wAfter w:w="1187" w:type="pct"/>
          <w:trHeight w:val="300"/>
        </w:trPr>
        <w:tc>
          <w:tcPr>
            <w:tcW w:w="834" w:type="pct"/>
            <w:tcBorders>
              <w:top w:val="nil"/>
              <w:bottom w:val="nil"/>
              <w:right w:val="nil"/>
            </w:tcBorders>
            <w:shd w:val="clear" w:color="auto" w:fill="auto"/>
            <w:noWrap/>
            <w:vAlign w:val="bottom"/>
            <w:hideMark/>
          </w:tcPr>
          <w:p w:rsidR="00FE5A62" w:rsidRPr="002F714E" w:rsidRDefault="00FE5A62" w:rsidP="00FE5A62">
            <w:pPr>
              <w:rPr>
                <w:color w:val="000000"/>
                <w:sz w:val="20"/>
                <w:szCs w:val="20"/>
              </w:rPr>
            </w:pPr>
            <w:r w:rsidRPr="002F714E">
              <w:rPr>
                <w:color w:val="000000"/>
                <w:sz w:val="20"/>
                <w:szCs w:val="20"/>
              </w:rPr>
              <w:t>2 személy</w:t>
            </w:r>
          </w:p>
        </w:tc>
        <w:tc>
          <w:tcPr>
            <w:tcW w:w="477" w:type="pct"/>
            <w:tcBorders>
              <w:top w:val="nil"/>
              <w:left w:val="nil"/>
              <w:bottom w:val="nil"/>
              <w:right w:val="nil"/>
            </w:tcBorders>
            <w:shd w:val="clear" w:color="auto" w:fill="auto"/>
            <w:noWrap/>
            <w:hideMark/>
          </w:tcPr>
          <w:p w:rsidR="00FE5A62" w:rsidRPr="0087685D" w:rsidRDefault="00FE5A62" w:rsidP="00FE5A62">
            <w:pPr>
              <w:jc w:val="right"/>
            </w:pPr>
            <w:r w:rsidRPr="0087685D">
              <w:t>157 167</w:t>
            </w:r>
          </w:p>
        </w:tc>
        <w:tc>
          <w:tcPr>
            <w:tcW w:w="417" w:type="pct"/>
            <w:tcBorders>
              <w:top w:val="nil"/>
              <w:left w:val="nil"/>
              <w:bottom w:val="nil"/>
              <w:right w:val="nil"/>
            </w:tcBorders>
            <w:shd w:val="clear" w:color="auto" w:fill="auto"/>
            <w:noWrap/>
            <w:hideMark/>
          </w:tcPr>
          <w:p w:rsidR="00FE5A62" w:rsidRPr="0087685D" w:rsidRDefault="00FE5A62" w:rsidP="00FE5A62">
            <w:pPr>
              <w:jc w:val="right"/>
            </w:pPr>
            <w:r w:rsidRPr="0087685D">
              <w:t>49 687</w:t>
            </w:r>
          </w:p>
        </w:tc>
        <w:tc>
          <w:tcPr>
            <w:tcW w:w="416" w:type="pct"/>
            <w:tcBorders>
              <w:top w:val="nil"/>
              <w:left w:val="nil"/>
              <w:bottom w:val="nil"/>
              <w:right w:val="nil"/>
            </w:tcBorders>
            <w:shd w:val="clear" w:color="auto" w:fill="auto"/>
            <w:noWrap/>
            <w:hideMark/>
          </w:tcPr>
          <w:p w:rsidR="00FE5A62" w:rsidRPr="0087685D" w:rsidRDefault="00FE5A62" w:rsidP="00FE5A62">
            <w:pPr>
              <w:jc w:val="right"/>
            </w:pPr>
            <w:r w:rsidRPr="0087685D">
              <w:t>78 583</w:t>
            </w:r>
          </w:p>
        </w:tc>
        <w:tc>
          <w:tcPr>
            <w:tcW w:w="419" w:type="pct"/>
            <w:tcBorders>
              <w:top w:val="nil"/>
              <w:left w:val="nil"/>
              <w:bottom w:val="nil"/>
              <w:right w:val="nil"/>
            </w:tcBorders>
            <w:shd w:val="clear" w:color="auto" w:fill="auto"/>
            <w:noWrap/>
            <w:hideMark/>
          </w:tcPr>
          <w:p w:rsidR="00FE5A62" w:rsidRPr="0087685D" w:rsidRDefault="00FE5A62" w:rsidP="00FE5A62">
            <w:pPr>
              <w:jc w:val="right"/>
            </w:pPr>
            <w:r w:rsidRPr="0087685D">
              <w:t>24 843</w:t>
            </w:r>
          </w:p>
        </w:tc>
        <w:tc>
          <w:tcPr>
            <w:tcW w:w="533" w:type="pct"/>
            <w:tcBorders>
              <w:top w:val="nil"/>
              <w:left w:val="nil"/>
              <w:bottom w:val="nil"/>
              <w:right w:val="nil"/>
            </w:tcBorders>
            <w:shd w:val="clear" w:color="auto" w:fill="auto"/>
            <w:noWrap/>
            <w:hideMark/>
          </w:tcPr>
          <w:p w:rsidR="00FE5A62" w:rsidRPr="0087685D" w:rsidRDefault="00FE5A62" w:rsidP="00FE5A62">
            <w:pPr>
              <w:jc w:val="right"/>
            </w:pPr>
            <w:r w:rsidRPr="0087685D">
              <w:t>3,16</w:t>
            </w:r>
          </w:p>
        </w:tc>
        <w:tc>
          <w:tcPr>
            <w:tcW w:w="717" w:type="pct"/>
            <w:tcBorders>
              <w:top w:val="nil"/>
              <w:left w:val="nil"/>
              <w:bottom w:val="nil"/>
              <w:right w:val="single" w:sz="8" w:space="0" w:color="auto"/>
            </w:tcBorders>
            <w:shd w:val="clear" w:color="auto" w:fill="auto"/>
            <w:noWrap/>
            <w:hideMark/>
          </w:tcPr>
          <w:p w:rsidR="00FE5A62" w:rsidRPr="0087685D" w:rsidRDefault="00FE5A62" w:rsidP="00FE5A62">
            <w:pPr>
              <w:jc w:val="right"/>
            </w:pPr>
            <w:r w:rsidRPr="0087685D">
              <w:t>1,55</w:t>
            </w:r>
          </w:p>
        </w:tc>
      </w:tr>
      <w:tr w:rsidR="00FE5A62" w:rsidRPr="007B1241" w:rsidTr="00BF305E">
        <w:trPr>
          <w:gridAfter w:val="2"/>
          <w:wAfter w:w="1187" w:type="pct"/>
          <w:trHeight w:val="315"/>
        </w:trPr>
        <w:tc>
          <w:tcPr>
            <w:tcW w:w="834" w:type="pct"/>
            <w:tcBorders>
              <w:top w:val="nil"/>
              <w:bottom w:val="nil"/>
              <w:right w:val="nil"/>
            </w:tcBorders>
            <w:shd w:val="clear" w:color="auto" w:fill="auto"/>
            <w:noWrap/>
            <w:vAlign w:val="bottom"/>
            <w:hideMark/>
          </w:tcPr>
          <w:p w:rsidR="00FE5A62" w:rsidRPr="002F714E" w:rsidRDefault="00FE5A62" w:rsidP="00FE5A62">
            <w:pPr>
              <w:rPr>
                <w:color w:val="000000"/>
                <w:sz w:val="20"/>
                <w:szCs w:val="20"/>
              </w:rPr>
            </w:pPr>
            <w:r w:rsidRPr="002F714E">
              <w:rPr>
                <w:color w:val="000000"/>
                <w:sz w:val="20"/>
                <w:szCs w:val="20"/>
              </w:rPr>
              <w:t>3 személy</w:t>
            </w:r>
          </w:p>
        </w:tc>
        <w:tc>
          <w:tcPr>
            <w:tcW w:w="477" w:type="pct"/>
            <w:tcBorders>
              <w:top w:val="nil"/>
              <w:left w:val="nil"/>
              <w:bottom w:val="single" w:sz="8" w:space="0" w:color="auto"/>
              <w:right w:val="nil"/>
            </w:tcBorders>
            <w:shd w:val="clear" w:color="auto" w:fill="auto"/>
            <w:noWrap/>
            <w:hideMark/>
          </w:tcPr>
          <w:p w:rsidR="00FE5A62" w:rsidRPr="0087685D" w:rsidRDefault="00FE5A62" w:rsidP="00FE5A62">
            <w:pPr>
              <w:jc w:val="right"/>
            </w:pPr>
            <w:r w:rsidRPr="0087685D">
              <w:t>223 076</w:t>
            </w:r>
          </w:p>
        </w:tc>
        <w:tc>
          <w:tcPr>
            <w:tcW w:w="417" w:type="pct"/>
            <w:tcBorders>
              <w:top w:val="nil"/>
              <w:left w:val="nil"/>
              <w:bottom w:val="single" w:sz="8" w:space="0" w:color="auto"/>
              <w:right w:val="nil"/>
            </w:tcBorders>
            <w:shd w:val="clear" w:color="auto" w:fill="auto"/>
            <w:noWrap/>
            <w:hideMark/>
          </w:tcPr>
          <w:p w:rsidR="00FE5A62" w:rsidRPr="0087685D" w:rsidRDefault="00FE5A62" w:rsidP="00FE5A62">
            <w:pPr>
              <w:jc w:val="right"/>
            </w:pPr>
            <w:r w:rsidRPr="0087685D">
              <w:t>74 530</w:t>
            </w:r>
          </w:p>
        </w:tc>
        <w:tc>
          <w:tcPr>
            <w:tcW w:w="416" w:type="pct"/>
            <w:tcBorders>
              <w:top w:val="nil"/>
              <w:left w:val="nil"/>
              <w:bottom w:val="single" w:sz="8" w:space="0" w:color="auto"/>
              <w:right w:val="nil"/>
            </w:tcBorders>
            <w:shd w:val="clear" w:color="auto" w:fill="auto"/>
            <w:noWrap/>
            <w:hideMark/>
          </w:tcPr>
          <w:p w:rsidR="00FE5A62" w:rsidRPr="0087685D" w:rsidRDefault="00FE5A62" w:rsidP="00FE5A62">
            <w:pPr>
              <w:jc w:val="right"/>
            </w:pPr>
            <w:r w:rsidRPr="0087685D">
              <w:t>74 359</w:t>
            </w:r>
          </w:p>
        </w:tc>
        <w:tc>
          <w:tcPr>
            <w:tcW w:w="419" w:type="pct"/>
            <w:tcBorders>
              <w:top w:val="nil"/>
              <w:left w:val="nil"/>
              <w:bottom w:val="single" w:sz="8" w:space="0" w:color="auto"/>
              <w:right w:val="nil"/>
            </w:tcBorders>
            <w:shd w:val="clear" w:color="auto" w:fill="auto"/>
            <w:noWrap/>
            <w:hideMark/>
          </w:tcPr>
          <w:p w:rsidR="00FE5A62" w:rsidRPr="0087685D" w:rsidRDefault="00FE5A62" w:rsidP="00FE5A62">
            <w:pPr>
              <w:jc w:val="right"/>
            </w:pPr>
            <w:r w:rsidRPr="0087685D">
              <w:t>24 843</w:t>
            </w:r>
          </w:p>
        </w:tc>
        <w:tc>
          <w:tcPr>
            <w:tcW w:w="533" w:type="pct"/>
            <w:tcBorders>
              <w:top w:val="nil"/>
              <w:left w:val="nil"/>
              <w:bottom w:val="single" w:sz="8" w:space="0" w:color="auto"/>
              <w:right w:val="nil"/>
            </w:tcBorders>
            <w:shd w:val="clear" w:color="auto" w:fill="auto"/>
            <w:noWrap/>
            <w:hideMark/>
          </w:tcPr>
          <w:p w:rsidR="00FE5A62" w:rsidRPr="0087685D" w:rsidRDefault="00FE5A62" w:rsidP="00FE5A62">
            <w:pPr>
              <w:jc w:val="right"/>
            </w:pPr>
            <w:r w:rsidRPr="0087685D">
              <w:t>2,99</w:t>
            </w:r>
          </w:p>
        </w:tc>
        <w:tc>
          <w:tcPr>
            <w:tcW w:w="717" w:type="pct"/>
            <w:tcBorders>
              <w:top w:val="nil"/>
              <w:left w:val="nil"/>
              <w:bottom w:val="single" w:sz="8" w:space="0" w:color="auto"/>
              <w:right w:val="single" w:sz="8" w:space="0" w:color="auto"/>
            </w:tcBorders>
            <w:shd w:val="clear" w:color="auto" w:fill="auto"/>
            <w:noWrap/>
            <w:hideMark/>
          </w:tcPr>
          <w:p w:rsidR="00FE5A62" w:rsidRDefault="00FE5A62" w:rsidP="00FE5A62">
            <w:pPr>
              <w:jc w:val="right"/>
            </w:pPr>
            <w:r w:rsidRPr="0087685D">
              <w:t>2,2</w:t>
            </w:r>
          </w:p>
        </w:tc>
      </w:tr>
    </w:tbl>
    <w:p w:rsidR="00570E12" w:rsidRDefault="00570E12" w:rsidP="00A53D62"/>
    <w:p w:rsidR="00570E12" w:rsidRDefault="00570E12">
      <w:r>
        <w:br w:type="page"/>
      </w:r>
    </w:p>
    <w:p w:rsidR="00570E12" w:rsidRPr="008C6770" w:rsidRDefault="00570E12" w:rsidP="008C6770">
      <w:pPr>
        <w:pStyle w:val="Listaszerbekezds"/>
        <w:numPr>
          <w:ilvl w:val="0"/>
          <w:numId w:val="5"/>
        </w:numPr>
        <w:spacing w:after="0" w:line="240" w:lineRule="auto"/>
        <w:jc w:val="right"/>
        <w:rPr>
          <w:rStyle w:val="Kiemels2"/>
          <w:sz w:val="24"/>
          <w:szCs w:val="24"/>
        </w:rPr>
      </w:pPr>
      <w:r w:rsidRPr="008C6770">
        <w:rPr>
          <w:rStyle w:val="Kiemels2"/>
          <w:sz w:val="24"/>
          <w:szCs w:val="24"/>
        </w:rPr>
        <w:lastRenderedPageBreak/>
        <w:t xml:space="preserve">tábla          </w:t>
      </w:r>
    </w:p>
    <w:p w:rsidR="00570E12" w:rsidRDefault="00570E12" w:rsidP="00570E12">
      <w:pPr>
        <w:pStyle w:val="Listaszerbekezds"/>
        <w:spacing w:after="0" w:line="240" w:lineRule="auto"/>
        <w:ind w:left="1440"/>
        <w:rPr>
          <w:rStyle w:val="Kiemels2"/>
          <w:sz w:val="24"/>
          <w:szCs w:val="24"/>
        </w:rPr>
      </w:pPr>
    </w:p>
    <w:p w:rsidR="00570E12" w:rsidRPr="007B1241" w:rsidRDefault="00570E12" w:rsidP="00570E12">
      <w:pPr>
        <w:pStyle w:val="Listaszerbekezds"/>
        <w:spacing w:after="0" w:line="240" w:lineRule="auto"/>
        <w:ind w:left="1440"/>
        <w:jc w:val="center"/>
        <w:rPr>
          <w:rStyle w:val="Kiemels2"/>
          <w:rFonts w:eastAsia="Times New Roman" w:cs="Arial"/>
          <w:b w:val="0"/>
          <w:bCs w:val="0"/>
          <w:sz w:val="24"/>
          <w:szCs w:val="24"/>
          <w:lang w:eastAsia="hu-HU"/>
        </w:rPr>
      </w:pPr>
      <w:r w:rsidRPr="007B1241">
        <w:rPr>
          <w:rStyle w:val="Kiemels2"/>
          <w:sz w:val="24"/>
          <w:szCs w:val="24"/>
        </w:rPr>
        <w:t>A létminimumértékek idősora</w:t>
      </w:r>
    </w:p>
    <w:p w:rsidR="00570E12" w:rsidRPr="007B1241" w:rsidRDefault="00570E12" w:rsidP="00570E12">
      <w:pPr>
        <w:pStyle w:val="Listaszerbekezds"/>
        <w:spacing w:after="0" w:line="240" w:lineRule="auto"/>
        <w:ind w:left="1080"/>
        <w:jc w:val="right"/>
        <w:rPr>
          <w:rFonts w:eastAsia="Times New Roman" w:cs="Arial"/>
          <w:sz w:val="18"/>
          <w:szCs w:val="18"/>
          <w:lang w:eastAsia="hu-HU"/>
        </w:rPr>
      </w:pPr>
      <w:r w:rsidRPr="007B1241">
        <w:rPr>
          <w:rFonts w:eastAsia="Times New Roman" w:cs="Arial"/>
          <w:sz w:val="18"/>
          <w:szCs w:val="18"/>
          <w:lang w:eastAsia="hu-HU"/>
        </w:rPr>
        <w:t>(forint/hó)</w:t>
      </w:r>
    </w:p>
    <w:p w:rsidR="00570E12" w:rsidRPr="007B1241" w:rsidRDefault="00570E12" w:rsidP="00570E12">
      <w:pPr>
        <w:pStyle w:val="Listaszerbekezds"/>
        <w:spacing w:after="0" w:line="240" w:lineRule="auto"/>
        <w:ind w:left="1080"/>
        <w:jc w:val="right"/>
        <w:rPr>
          <w:rFonts w:eastAsia="Times New Roman" w:cs="Arial"/>
          <w:sz w:val="18"/>
          <w:szCs w:val="18"/>
          <w:lang w:eastAsia="hu-HU"/>
        </w:rPr>
      </w:pPr>
    </w:p>
    <w:p w:rsidR="00570E12" w:rsidRPr="007B1241" w:rsidRDefault="00570E12" w:rsidP="00570E12">
      <w:pPr>
        <w:spacing w:after="0" w:line="240" w:lineRule="auto"/>
        <w:jc w:val="center"/>
        <w:rPr>
          <w:rStyle w:val="Kiemels2"/>
        </w:rPr>
      </w:pPr>
    </w:p>
    <w:tbl>
      <w:tblPr>
        <w:tblW w:w="5000" w:type="pct"/>
        <w:tblCellMar>
          <w:left w:w="70" w:type="dxa"/>
          <w:right w:w="70" w:type="dxa"/>
        </w:tblCellMar>
        <w:tblLook w:val="04A0" w:firstRow="1" w:lastRow="0" w:firstColumn="1" w:lastColumn="0" w:noHBand="0" w:noVBand="1"/>
      </w:tblPr>
      <w:tblGrid>
        <w:gridCol w:w="1578"/>
        <w:gridCol w:w="1074"/>
        <w:gridCol w:w="1077"/>
        <w:gridCol w:w="1044"/>
        <w:gridCol w:w="979"/>
        <w:gridCol w:w="1097"/>
        <w:gridCol w:w="1097"/>
        <w:gridCol w:w="1116"/>
      </w:tblGrid>
      <w:tr w:rsidR="008C6770" w:rsidRPr="002F714E" w:rsidTr="00A35D87">
        <w:trPr>
          <w:trHeight w:val="465"/>
        </w:trPr>
        <w:tc>
          <w:tcPr>
            <w:tcW w:w="8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C6770" w:rsidRPr="002F714E" w:rsidRDefault="008C6770" w:rsidP="008C6770">
            <w:pPr>
              <w:spacing w:after="0" w:line="240" w:lineRule="auto"/>
              <w:jc w:val="center"/>
              <w:rPr>
                <w:rFonts w:ascii="Arial" w:eastAsia="Times New Roman" w:hAnsi="Arial" w:cs="Arial"/>
                <w:sz w:val="16"/>
                <w:szCs w:val="16"/>
                <w:lang w:eastAsia="hu-HU"/>
              </w:rPr>
            </w:pPr>
            <w:r w:rsidRPr="002F714E">
              <w:rPr>
                <w:rFonts w:ascii="Arial" w:eastAsia="Times New Roman" w:hAnsi="Arial" w:cs="Arial"/>
                <w:sz w:val="16"/>
                <w:szCs w:val="16"/>
                <w:lang w:eastAsia="hu-HU"/>
              </w:rPr>
              <w:t>Háztartástípusok</w:t>
            </w:r>
          </w:p>
        </w:tc>
        <w:tc>
          <w:tcPr>
            <w:tcW w:w="593" w:type="pct"/>
            <w:tcBorders>
              <w:top w:val="single" w:sz="4" w:space="0" w:color="auto"/>
              <w:left w:val="nil"/>
              <w:bottom w:val="single" w:sz="4" w:space="0" w:color="auto"/>
              <w:right w:val="single" w:sz="4" w:space="0" w:color="auto"/>
            </w:tcBorders>
            <w:shd w:val="clear" w:color="auto" w:fill="auto"/>
            <w:vAlign w:val="bottom"/>
            <w:hideMark/>
          </w:tcPr>
          <w:p w:rsidR="008C6770" w:rsidRDefault="008C6770" w:rsidP="008C6770">
            <w:pPr>
              <w:jc w:val="center"/>
              <w:rPr>
                <w:rFonts w:ascii="Arial" w:hAnsi="Arial" w:cs="Arial"/>
                <w:sz w:val="16"/>
                <w:szCs w:val="16"/>
              </w:rPr>
            </w:pPr>
            <w:r>
              <w:rPr>
                <w:rFonts w:ascii="Arial" w:hAnsi="Arial" w:cs="Arial"/>
                <w:sz w:val="16"/>
                <w:szCs w:val="16"/>
              </w:rPr>
              <w:t>2012</w:t>
            </w:r>
          </w:p>
        </w:tc>
        <w:tc>
          <w:tcPr>
            <w:tcW w:w="594" w:type="pct"/>
            <w:tcBorders>
              <w:top w:val="single" w:sz="4" w:space="0" w:color="auto"/>
              <w:left w:val="nil"/>
              <w:bottom w:val="single" w:sz="4" w:space="0" w:color="auto"/>
              <w:right w:val="single" w:sz="4" w:space="0" w:color="auto"/>
            </w:tcBorders>
            <w:shd w:val="clear" w:color="auto" w:fill="auto"/>
            <w:vAlign w:val="bottom"/>
            <w:hideMark/>
          </w:tcPr>
          <w:p w:rsidR="008C6770" w:rsidRDefault="008C6770" w:rsidP="008C6770">
            <w:pPr>
              <w:jc w:val="center"/>
              <w:rPr>
                <w:rFonts w:ascii="Arial" w:hAnsi="Arial" w:cs="Arial"/>
                <w:sz w:val="16"/>
                <w:szCs w:val="16"/>
              </w:rPr>
            </w:pPr>
            <w:r>
              <w:rPr>
                <w:rFonts w:ascii="Arial" w:hAnsi="Arial" w:cs="Arial"/>
                <w:sz w:val="16"/>
                <w:szCs w:val="16"/>
              </w:rPr>
              <w:t>2013</w:t>
            </w:r>
          </w:p>
        </w:tc>
        <w:tc>
          <w:tcPr>
            <w:tcW w:w="576" w:type="pct"/>
            <w:tcBorders>
              <w:top w:val="single" w:sz="4" w:space="0" w:color="auto"/>
              <w:left w:val="nil"/>
              <w:bottom w:val="single" w:sz="4" w:space="0" w:color="auto"/>
              <w:right w:val="single" w:sz="4" w:space="0" w:color="auto"/>
            </w:tcBorders>
            <w:shd w:val="clear" w:color="auto" w:fill="auto"/>
            <w:vAlign w:val="bottom"/>
            <w:hideMark/>
          </w:tcPr>
          <w:p w:rsidR="008C6770" w:rsidRDefault="008C6770" w:rsidP="008C6770">
            <w:pPr>
              <w:jc w:val="center"/>
              <w:rPr>
                <w:rFonts w:ascii="Arial" w:hAnsi="Arial" w:cs="Arial"/>
                <w:sz w:val="16"/>
                <w:szCs w:val="16"/>
              </w:rPr>
            </w:pPr>
            <w:r>
              <w:rPr>
                <w:rFonts w:ascii="Arial" w:hAnsi="Arial" w:cs="Arial"/>
                <w:sz w:val="16"/>
                <w:szCs w:val="16"/>
              </w:rPr>
              <w:t>2014</w:t>
            </w:r>
          </w:p>
        </w:tc>
        <w:tc>
          <w:tcPr>
            <w:tcW w:w="540" w:type="pct"/>
            <w:tcBorders>
              <w:top w:val="single" w:sz="4" w:space="0" w:color="auto"/>
              <w:left w:val="nil"/>
              <w:bottom w:val="single" w:sz="4" w:space="0" w:color="auto"/>
              <w:right w:val="single" w:sz="4" w:space="0" w:color="auto"/>
            </w:tcBorders>
            <w:shd w:val="clear" w:color="auto" w:fill="auto"/>
            <w:vAlign w:val="bottom"/>
            <w:hideMark/>
          </w:tcPr>
          <w:p w:rsidR="008C6770" w:rsidRDefault="008C6770" w:rsidP="008C6770">
            <w:pPr>
              <w:jc w:val="center"/>
              <w:rPr>
                <w:rFonts w:ascii="Arial" w:hAnsi="Arial" w:cs="Arial"/>
                <w:sz w:val="16"/>
                <w:szCs w:val="16"/>
              </w:rPr>
            </w:pPr>
            <w:r>
              <w:rPr>
                <w:rFonts w:ascii="Arial" w:hAnsi="Arial" w:cs="Arial"/>
                <w:sz w:val="16"/>
                <w:szCs w:val="16"/>
              </w:rPr>
              <w:t>2015</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8C6770" w:rsidRDefault="008C6770" w:rsidP="008C6770">
            <w:pPr>
              <w:jc w:val="center"/>
              <w:rPr>
                <w:rFonts w:ascii="Arial" w:hAnsi="Arial" w:cs="Arial"/>
                <w:sz w:val="16"/>
                <w:szCs w:val="16"/>
              </w:rPr>
            </w:pPr>
            <w:r>
              <w:rPr>
                <w:rFonts w:ascii="Arial" w:hAnsi="Arial" w:cs="Arial"/>
                <w:sz w:val="16"/>
                <w:szCs w:val="16"/>
              </w:rPr>
              <w:t>2016</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8C6770" w:rsidRDefault="008C6770" w:rsidP="008C6770">
            <w:pPr>
              <w:jc w:val="center"/>
              <w:rPr>
                <w:rFonts w:ascii="Arial" w:hAnsi="Arial" w:cs="Arial"/>
                <w:sz w:val="16"/>
                <w:szCs w:val="16"/>
              </w:rPr>
            </w:pPr>
            <w:r>
              <w:rPr>
                <w:rFonts w:ascii="Arial" w:hAnsi="Arial" w:cs="Arial"/>
                <w:sz w:val="16"/>
                <w:szCs w:val="16"/>
              </w:rPr>
              <w:t>2017</w:t>
            </w:r>
          </w:p>
        </w:tc>
        <w:tc>
          <w:tcPr>
            <w:tcW w:w="616" w:type="pct"/>
            <w:tcBorders>
              <w:top w:val="single" w:sz="4" w:space="0" w:color="auto"/>
              <w:left w:val="nil"/>
              <w:bottom w:val="single" w:sz="4" w:space="0" w:color="auto"/>
              <w:right w:val="single" w:sz="4" w:space="0" w:color="auto"/>
            </w:tcBorders>
            <w:shd w:val="clear" w:color="auto" w:fill="auto"/>
            <w:vAlign w:val="bottom"/>
            <w:hideMark/>
          </w:tcPr>
          <w:p w:rsidR="008C6770" w:rsidRDefault="008C6770" w:rsidP="008C6770">
            <w:pPr>
              <w:jc w:val="center"/>
              <w:rPr>
                <w:rFonts w:ascii="Arial" w:hAnsi="Arial" w:cs="Arial"/>
                <w:sz w:val="16"/>
                <w:szCs w:val="16"/>
              </w:rPr>
            </w:pPr>
            <w:r>
              <w:rPr>
                <w:rFonts w:ascii="Arial" w:hAnsi="Arial" w:cs="Arial"/>
                <w:sz w:val="16"/>
                <w:szCs w:val="16"/>
              </w:rPr>
              <w:t>2018</w:t>
            </w:r>
          </w:p>
        </w:tc>
      </w:tr>
      <w:tr w:rsidR="00570E12" w:rsidRPr="002F714E" w:rsidTr="00A35D87">
        <w:trPr>
          <w:trHeight w:val="300"/>
        </w:trPr>
        <w:tc>
          <w:tcPr>
            <w:tcW w:w="5000" w:type="pct"/>
            <w:gridSpan w:val="8"/>
            <w:tcBorders>
              <w:top w:val="single" w:sz="4" w:space="0" w:color="auto"/>
              <w:left w:val="nil"/>
              <w:bottom w:val="nil"/>
              <w:right w:val="nil"/>
            </w:tcBorders>
            <w:shd w:val="clear" w:color="auto" w:fill="auto"/>
            <w:noWrap/>
            <w:vAlign w:val="bottom"/>
            <w:hideMark/>
          </w:tcPr>
          <w:p w:rsidR="00570E12" w:rsidRPr="002F714E" w:rsidRDefault="00570E12" w:rsidP="00A35D87">
            <w:pPr>
              <w:spacing w:after="0" w:line="240" w:lineRule="auto"/>
              <w:jc w:val="center"/>
              <w:rPr>
                <w:rFonts w:ascii="Arial" w:eastAsia="Times New Roman" w:hAnsi="Arial" w:cs="Arial"/>
                <w:b/>
                <w:bCs/>
                <w:sz w:val="16"/>
                <w:szCs w:val="16"/>
                <w:lang w:eastAsia="hu-HU"/>
              </w:rPr>
            </w:pPr>
            <w:r w:rsidRPr="002F714E">
              <w:rPr>
                <w:rFonts w:ascii="Arial" w:eastAsia="Times New Roman" w:hAnsi="Arial" w:cs="Arial"/>
                <w:b/>
                <w:bCs/>
                <w:sz w:val="16"/>
                <w:szCs w:val="16"/>
                <w:lang w:eastAsia="hu-HU"/>
              </w:rPr>
              <w:t>Egy háztartásra számítva</w:t>
            </w:r>
          </w:p>
        </w:tc>
      </w:tr>
      <w:tr w:rsidR="00570E12" w:rsidRPr="002F714E" w:rsidTr="00A35D87">
        <w:trPr>
          <w:trHeight w:val="300"/>
        </w:trPr>
        <w:tc>
          <w:tcPr>
            <w:tcW w:w="5000" w:type="pct"/>
            <w:gridSpan w:val="8"/>
            <w:tcBorders>
              <w:top w:val="nil"/>
              <w:left w:val="nil"/>
              <w:bottom w:val="nil"/>
              <w:right w:val="nil"/>
            </w:tcBorders>
            <w:shd w:val="clear" w:color="auto" w:fill="auto"/>
            <w:noWrap/>
            <w:hideMark/>
          </w:tcPr>
          <w:p w:rsidR="00570E12" w:rsidRDefault="00570E12" w:rsidP="00A35D87">
            <w:pPr>
              <w:spacing w:after="0" w:line="240" w:lineRule="auto"/>
              <w:jc w:val="center"/>
              <w:rPr>
                <w:rFonts w:ascii="Arial" w:eastAsia="Times New Roman" w:hAnsi="Arial" w:cs="Arial"/>
                <w:b/>
                <w:bCs/>
                <w:sz w:val="16"/>
                <w:szCs w:val="16"/>
                <w:lang w:eastAsia="hu-HU"/>
              </w:rPr>
            </w:pPr>
          </w:p>
          <w:p w:rsidR="00570E12" w:rsidRDefault="00570E12" w:rsidP="00A35D87">
            <w:pPr>
              <w:spacing w:after="0" w:line="240" w:lineRule="auto"/>
              <w:rPr>
                <w:rFonts w:ascii="Arial" w:eastAsia="Times New Roman" w:hAnsi="Arial" w:cs="Arial"/>
                <w:b/>
                <w:bCs/>
                <w:sz w:val="16"/>
                <w:szCs w:val="16"/>
                <w:lang w:eastAsia="hu-HU"/>
              </w:rPr>
            </w:pPr>
          </w:p>
          <w:p w:rsidR="00570E12" w:rsidRDefault="00570E12" w:rsidP="00A35D87">
            <w:pPr>
              <w:spacing w:after="0" w:line="240" w:lineRule="auto"/>
              <w:jc w:val="center"/>
              <w:rPr>
                <w:rFonts w:ascii="Arial" w:eastAsia="Times New Roman" w:hAnsi="Arial" w:cs="Arial"/>
                <w:b/>
                <w:bCs/>
                <w:sz w:val="16"/>
                <w:szCs w:val="16"/>
                <w:lang w:eastAsia="hu-HU"/>
              </w:rPr>
            </w:pPr>
            <w:r w:rsidRPr="002F714E">
              <w:rPr>
                <w:rFonts w:ascii="Arial" w:eastAsia="Times New Roman" w:hAnsi="Arial" w:cs="Arial"/>
                <w:b/>
                <w:bCs/>
                <w:sz w:val="16"/>
                <w:szCs w:val="16"/>
                <w:lang w:eastAsia="hu-HU"/>
              </w:rPr>
              <w:t>Aktív korúak háztartásai</w:t>
            </w:r>
          </w:p>
          <w:p w:rsidR="00570E12" w:rsidRPr="002F714E" w:rsidRDefault="00570E12" w:rsidP="00A35D87">
            <w:pPr>
              <w:spacing w:after="0" w:line="240" w:lineRule="auto"/>
              <w:jc w:val="center"/>
              <w:rPr>
                <w:rFonts w:ascii="Arial" w:eastAsia="Times New Roman" w:hAnsi="Arial" w:cs="Arial"/>
                <w:b/>
                <w:bCs/>
                <w:sz w:val="16"/>
                <w:szCs w:val="16"/>
                <w:lang w:eastAsia="hu-HU"/>
              </w:rPr>
            </w:pPr>
          </w:p>
        </w:tc>
      </w:tr>
      <w:tr w:rsidR="008C6770" w:rsidRPr="002F714E" w:rsidTr="00A35D87">
        <w:trPr>
          <w:trHeight w:val="300"/>
        </w:trPr>
        <w:tc>
          <w:tcPr>
            <w:tcW w:w="871" w:type="pct"/>
            <w:tcBorders>
              <w:top w:val="nil"/>
              <w:left w:val="nil"/>
              <w:bottom w:val="nil"/>
              <w:right w:val="nil"/>
            </w:tcBorders>
            <w:shd w:val="clear" w:color="auto" w:fill="auto"/>
            <w:hideMark/>
          </w:tcPr>
          <w:p w:rsidR="008C6770" w:rsidRPr="002F714E" w:rsidRDefault="008C6770" w:rsidP="008C6770">
            <w:pPr>
              <w:spacing w:after="0" w:line="240" w:lineRule="auto"/>
              <w:rPr>
                <w:rFonts w:ascii="Arial" w:eastAsia="Times New Roman" w:hAnsi="Arial" w:cs="Arial"/>
                <w:sz w:val="16"/>
                <w:szCs w:val="16"/>
                <w:lang w:eastAsia="hu-HU"/>
              </w:rPr>
            </w:pPr>
            <w:r w:rsidRPr="002F714E">
              <w:rPr>
                <w:rFonts w:ascii="Arial" w:eastAsia="Times New Roman" w:hAnsi="Arial" w:cs="Arial"/>
                <w:sz w:val="16"/>
                <w:szCs w:val="16"/>
                <w:lang w:eastAsia="hu-HU"/>
              </w:rPr>
              <w:t>1 felnőtt</w:t>
            </w:r>
          </w:p>
        </w:tc>
        <w:tc>
          <w:tcPr>
            <w:tcW w:w="593"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85 960</w:t>
            </w:r>
          </w:p>
        </w:tc>
        <w:tc>
          <w:tcPr>
            <w:tcW w:w="594"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87 510</w:t>
            </w:r>
          </w:p>
        </w:tc>
        <w:tc>
          <w:tcPr>
            <w:tcW w:w="576"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87 351</w:t>
            </w:r>
          </w:p>
        </w:tc>
        <w:tc>
          <w:tcPr>
            <w:tcW w:w="540" w:type="pct"/>
            <w:tcBorders>
              <w:top w:val="nil"/>
              <w:left w:val="nil"/>
              <w:bottom w:val="nil"/>
              <w:right w:val="nil"/>
            </w:tcBorders>
            <w:shd w:val="clear" w:color="auto" w:fill="auto"/>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88 016</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88 619</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90 450</w:t>
            </w:r>
          </w:p>
        </w:tc>
        <w:tc>
          <w:tcPr>
            <w:tcW w:w="616"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94 820</w:t>
            </w:r>
          </w:p>
        </w:tc>
      </w:tr>
      <w:tr w:rsidR="008C6770" w:rsidRPr="002F714E" w:rsidTr="00A35D87">
        <w:trPr>
          <w:trHeight w:val="450"/>
        </w:trPr>
        <w:tc>
          <w:tcPr>
            <w:tcW w:w="871" w:type="pct"/>
            <w:tcBorders>
              <w:top w:val="nil"/>
              <w:left w:val="nil"/>
              <w:bottom w:val="nil"/>
              <w:right w:val="nil"/>
            </w:tcBorders>
            <w:shd w:val="clear" w:color="auto" w:fill="auto"/>
            <w:hideMark/>
          </w:tcPr>
          <w:p w:rsidR="008C6770" w:rsidRPr="002F714E" w:rsidRDefault="008C6770" w:rsidP="008C6770">
            <w:pPr>
              <w:spacing w:after="0" w:line="240" w:lineRule="auto"/>
              <w:rPr>
                <w:rFonts w:ascii="Arial" w:eastAsia="Times New Roman" w:hAnsi="Arial" w:cs="Arial"/>
                <w:sz w:val="16"/>
                <w:szCs w:val="16"/>
                <w:lang w:eastAsia="hu-HU"/>
              </w:rPr>
            </w:pPr>
            <w:r w:rsidRPr="002F714E">
              <w:rPr>
                <w:rFonts w:ascii="Arial" w:eastAsia="Times New Roman" w:hAnsi="Arial" w:cs="Arial"/>
                <w:sz w:val="16"/>
                <w:szCs w:val="16"/>
                <w:lang w:eastAsia="hu-HU"/>
              </w:rPr>
              <w:t>1 felnőtt 1 gyermekkel</w:t>
            </w:r>
          </w:p>
        </w:tc>
        <w:tc>
          <w:tcPr>
            <w:tcW w:w="593"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141 834</w:t>
            </w:r>
          </w:p>
        </w:tc>
        <w:tc>
          <w:tcPr>
            <w:tcW w:w="594"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144 392</w:t>
            </w:r>
          </w:p>
        </w:tc>
        <w:tc>
          <w:tcPr>
            <w:tcW w:w="576"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144 129</w:t>
            </w:r>
          </w:p>
        </w:tc>
        <w:tc>
          <w:tcPr>
            <w:tcW w:w="540" w:type="pct"/>
            <w:tcBorders>
              <w:top w:val="nil"/>
              <w:left w:val="nil"/>
              <w:bottom w:val="nil"/>
              <w:right w:val="nil"/>
            </w:tcBorders>
            <w:shd w:val="clear" w:color="auto" w:fill="auto"/>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145 226</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146 221</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149 243</w:t>
            </w:r>
          </w:p>
        </w:tc>
        <w:tc>
          <w:tcPr>
            <w:tcW w:w="616"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156 453</w:t>
            </w:r>
          </w:p>
        </w:tc>
      </w:tr>
      <w:tr w:rsidR="008C6770" w:rsidRPr="002F714E" w:rsidTr="00A35D87">
        <w:trPr>
          <w:trHeight w:val="450"/>
        </w:trPr>
        <w:tc>
          <w:tcPr>
            <w:tcW w:w="871" w:type="pct"/>
            <w:tcBorders>
              <w:top w:val="nil"/>
              <w:left w:val="nil"/>
              <w:bottom w:val="nil"/>
              <w:right w:val="nil"/>
            </w:tcBorders>
            <w:shd w:val="clear" w:color="auto" w:fill="auto"/>
            <w:hideMark/>
          </w:tcPr>
          <w:p w:rsidR="008C6770" w:rsidRPr="002F714E" w:rsidRDefault="008C6770" w:rsidP="008C6770">
            <w:pPr>
              <w:spacing w:after="0" w:line="240" w:lineRule="auto"/>
              <w:rPr>
                <w:rFonts w:ascii="Arial" w:eastAsia="Times New Roman" w:hAnsi="Arial" w:cs="Arial"/>
                <w:sz w:val="16"/>
                <w:szCs w:val="16"/>
                <w:lang w:eastAsia="hu-HU"/>
              </w:rPr>
            </w:pPr>
            <w:r w:rsidRPr="002F714E">
              <w:rPr>
                <w:rFonts w:ascii="Arial" w:eastAsia="Times New Roman" w:hAnsi="Arial" w:cs="Arial"/>
                <w:sz w:val="16"/>
                <w:szCs w:val="16"/>
                <w:lang w:eastAsia="hu-HU"/>
              </w:rPr>
              <w:t>1 felnőtt 2 gyermekkel</w:t>
            </w:r>
          </w:p>
        </w:tc>
        <w:tc>
          <w:tcPr>
            <w:tcW w:w="593"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184 814</w:t>
            </w:r>
          </w:p>
        </w:tc>
        <w:tc>
          <w:tcPr>
            <w:tcW w:w="594"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188 147</w:t>
            </w:r>
          </w:p>
        </w:tc>
        <w:tc>
          <w:tcPr>
            <w:tcW w:w="576"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187 805</w:t>
            </w:r>
          </w:p>
        </w:tc>
        <w:tc>
          <w:tcPr>
            <w:tcW w:w="540" w:type="pct"/>
            <w:tcBorders>
              <w:top w:val="nil"/>
              <w:left w:val="nil"/>
              <w:bottom w:val="nil"/>
              <w:right w:val="nil"/>
            </w:tcBorders>
            <w:shd w:val="clear" w:color="auto" w:fill="auto"/>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189 234</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190 531</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194 468</w:t>
            </w:r>
          </w:p>
        </w:tc>
        <w:tc>
          <w:tcPr>
            <w:tcW w:w="616"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203 863</w:t>
            </w:r>
          </w:p>
        </w:tc>
      </w:tr>
      <w:tr w:rsidR="008C6770" w:rsidRPr="002F714E" w:rsidTr="00A35D87">
        <w:trPr>
          <w:trHeight w:val="450"/>
        </w:trPr>
        <w:tc>
          <w:tcPr>
            <w:tcW w:w="871" w:type="pct"/>
            <w:tcBorders>
              <w:top w:val="nil"/>
              <w:left w:val="nil"/>
              <w:bottom w:val="nil"/>
              <w:right w:val="nil"/>
            </w:tcBorders>
            <w:shd w:val="clear" w:color="auto" w:fill="auto"/>
            <w:hideMark/>
          </w:tcPr>
          <w:p w:rsidR="008C6770" w:rsidRPr="002F714E" w:rsidRDefault="008C6770" w:rsidP="008C6770">
            <w:pPr>
              <w:spacing w:after="0" w:line="240" w:lineRule="auto"/>
              <w:rPr>
                <w:rFonts w:ascii="Arial" w:eastAsia="Times New Roman" w:hAnsi="Arial" w:cs="Arial"/>
                <w:sz w:val="16"/>
                <w:szCs w:val="16"/>
                <w:lang w:eastAsia="hu-HU"/>
              </w:rPr>
            </w:pPr>
            <w:r w:rsidRPr="002F714E">
              <w:rPr>
                <w:rFonts w:ascii="Arial" w:eastAsia="Times New Roman" w:hAnsi="Arial" w:cs="Arial"/>
                <w:sz w:val="16"/>
                <w:szCs w:val="16"/>
                <w:lang w:eastAsia="hu-HU"/>
              </w:rPr>
              <w:t>2 aktív korú felnőtt</w:t>
            </w:r>
          </w:p>
        </w:tc>
        <w:tc>
          <w:tcPr>
            <w:tcW w:w="593"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150 430</w:t>
            </w:r>
          </w:p>
        </w:tc>
        <w:tc>
          <w:tcPr>
            <w:tcW w:w="594"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153 143</w:t>
            </w:r>
          </w:p>
        </w:tc>
        <w:tc>
          <w:tcPr>
            <w:tcW w:w="576"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152 864</w:t>
            </w:r>
          </w:p>
        </w:tc>
        <w:tc>
          <w:tcPr>
            <w:tcW w:w="540" w:type="pct"/>
            <w:tcBorders>
              <w:top w:val="nil"/>
              <w:left w:val="nil"/>
              <w:bottom w:val="nil"/>
              <w:right w:val="nil"/>
            </w:tcBorders>
            <w:shd w:val="clear" w:color="auto" w:fill="auto"/>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154 028</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155 083</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158 288</w:t>
            </w:r>
          </w:p>
        </w:tc>
        <w:tc>
          <w:tcPr>
            <w:tcW w:w="616"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165 935</w:t>
            </w:r>
          </w:p>
        </w:tc>
      </w:tr>
      <w:tr w:rsidR="008C6770" w:rsidRPr="002F714E" w:rsidTr="00A35D87">
        <w:trPr>
          <w:trHeight w:val="450"/>
        </w:trPr>
        <w:tc>
          <w:tcPr>
            <w:tcW w:w="871" w:type="pct"/>
            <w:tcBorders>
              <w:top w:val="nil"/>
              <w:left w:val="nil"/>
              <w:bottom w:val="nil"/>
              <w:right w:val="nil"/>
            </w:tcBorders>
            <w:shd w:val="clear" w:color="auto" w:fill="auto"/>
            <w:hideMark/>
          </w:tcPr>
          <w:p w:rsidR="008C6770" w:rsidRPr="002F714E" w:rsidRDefault="008C6770" w:rsidP="008C6770">
            <w:pPr>
              <w:spacing w:after="0" w:line="240" w:lineRule="auto"/>
              <w:rPr>
                <w:rFonts w:ascii="Arial" w:eastAsia="Times New Roman" w:hAnsi="Arial" w:cs="Arial"/>
                <w:sz w:val="16"/>
                <w:szCs w:val="16"/>
                <w:lang w:eastAsia="hu-HU"/>
              </w:rPr>
            </w:pPr>
            <w:r w:rsidRPr="002F714E">
              <w:rPr>
                <w:rFonts w:ascii="Arial" w:eastAsia="Times New Roman" w:hAnsi="Arial" w:cs="Arial"/>
                <w:sz w:val="16"/>
                <w:szCs w:val="16"/>
                <w:lang w:eastAsia="hu-HU"/>
              </w:rPr>
              <w:t>2 felnőtt 1 gyermekkel</w:t>
            </w:r>
          </w:p>
        </w:tc>
        <w:tc>
          <w:tcPr>
            <w:tcW w:w="593"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206 304</w:t>
            </w:r>
          </w:p>
        </w:tc>
        <w:tc>
          <w:tcPr>
            <w:tcW w:w="594"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210 024</w:t>
            </w:r>
          </w:p>
        </w:tc>
        <w:tc>
          <w:tcPr>
            <w:tcW w:w="576"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209 642</w:t>
            </w:r>
          </w:p>
        </w:tc>
        <w:tc>
          <w:tcPr>
            <w:tcW w:w="540" w:type="pct"/>
            <w:tcBorders>
              <w:top w:val="nil"/>
              <w:left w:val="nil"/>
              <w:bottom w:val="nil"/>
              <w:right w:val="nil"/>
            </w:tcBorders>
            <w:shd w:val="clear" w:color="auto" w:fill="auto"/>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211 238</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212 686</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217 080</w:t>
            </w:r>
          </w:p>
        </w:tc>
        <w:tc>
          <w:tcPr>
            <w:tcW w:w="616"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227 568</w:t>
            </w:r>
          </w:p>
        </w:tc>
      </w:tr>
      <w:tr w:rsidR="008C6770" w:rsidRPr="002F714E" w:rsidTr="00A35D87">
        <w:trPr>
          <w:trHeight w:val="450"/>
        </w:trPr>
        <w:tc>
          <w:tcPr>
            <w:tcW w:w="871" w:type="pct"/>
            <w:tcBorders>
              <w:top w:val="nil"/>
              <w:left w:val="nil"/>
              <w:bottom w:val="nil"/>
              <w:right w:val="nil"/>
            </w:tcBorders>
            <w:shd w:val="clear" w:color="auto" w:fill="auto"/>
            <w:hideMark/>
          </w:tcPr>
          <w:p w:rsidR="008C6770" w:rsidRPr="002F714E" w:rsidRDefault="008C6770" w:rsidP="008C6770">
            <w:pPr>
              <w:spacing w:after="0" w:line="240" w:lineRule="auto"/>
              <w:rPr>
                <w:rFonts w:ascii="Arial" w:eastAsia="Times New Roman" w:hAnsi="Arial" w:cs="Arial"/>
                <w:sz w:val="16"/>
                <w:szCs w:val="16"/>
                <w:lang w:eastAsia="hu-HU"/>
              </w:rPr>
            </w:pPr>
            <w:r w:rsidRPr="002F714E">
              <w:rPr>
                <w:rFonts w:ascii="Arial" w:eastAsia="Times New Roman" w:hAnsi="Arial" w:cs="Arial"/>
                <w:sz w:val="16"/>
                <w:szCs w:val="16"/>
                <w:lang w:eastAsia="hu-HU"/>
              </w:rPr>
              <w:t>2 felnőtt 2 gyermekkel</w:t>
            </w:r>
          </w:p>
        </w:tc>
        <w:tc>
          <w:tcPr>
            <w:tcW w:w="593"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249 284</w:t>
            </w:r>
          </w:p>
        </w:tc>
        <w:tc>
          <w:tcPr>
            <w:tcW w:w="594"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253 779</w:t>
            </w:r>
          </w:p>
        </w:tc>
        <w:tc>
          <w:tcPr>
            <w:tcW w:w="576"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253 318</w:t>
            </w:r>
          </w:p>
        </w:tc>
        <w:tc>
          <w:tcPr>
            <w:tcW w:w="540" w:type="pct"/>
            <w:tcBorders>
              <w:top w:val="nil"/>
              <w:left w:val="nil"/>
              <w:bottom w:val="nil"/>
              <w:right w:val="nil"/>
            </w:tcBorders>
            <w:shd w:val="clear" w:color="auto" w:fill="auto"/>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255 246</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256 995</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262 305</w:t>
            </w:r>
          </w:p>
        </w:tc>
        <w:tc>
          <w:tcPr>
            <w:tcW w:w="616"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274 978</w:t>
            </w:r>
          </w:p>
        </w:tc>
      </w:tr>
      <w:tr w:rsidR="008C6770" w:rsidRPr="002F714E" w:rsidTr="00A35D87">
        <w:trPr>
          <w:trHeight w:val="450"/>
        </w:trPr>
        <w:tc>
          <w:tcPr>
            <w:tcW w:w="871" w:type="pct"/>
            <w:tcBorders>
              <w:top w:val="nil"/>
              <w:left w:val="nil"/>
              <w:bottom w:val="nil"/>
              <w:right w:val="nil"/>
            </w:tcBorders>
            <w:shd w:val="clear" w:color="auto" w:fill="auto"/>
            <w:hideMark/>
          </w:tcPr>
          <w:p w:rsidR="008C6770" w:rsidRPr="002F714E" w:rsidRDefault="008C6770" w:rsidP="008C6770">
            <w:pPr>
              <w:spacing w:after="0" w:line="240" w:lineRule="auto"/>
              <w:rPr>
                <w:rFonts w:ascii="Arial" w:eastAsia="Times New Roman" w:hAnsi="Arial" w:cs="Arial"/>
                <w:sz w:val="16"/>
                <w:szCs w:val="16"/>
                <w:lang w:eastAsia="hu-HU"/>
              </w:rPr>
            </w:pPr>
            <w:r w:rsidRPr="002F714E">
              <w:rPr>
                <w:rFonts w:ascii="Arial" w:eastAsia="Times New Roman" w:hAnsi="Arial" w:cs="Arial"/>
                <w:sz w:val="16"/>
                <w:szCs w:val="16"/>
                <w:lang w:eastAsia="hu-HU"/>
              </w:rPr>
              <w:t>2 felnőtt 3 gyermekkel</w:t>
            </w:r>
          </w:p>
        </w:tc>
        <w:tc>
          <w:tcPr>
            <w:tcW w:w="593"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283 668</w:t>
            </w:r>
          </w:p>
        </w:tc>
        <w:tc>
          <w:tcPr>
            <w:tcW w:w="594"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288 783</w:t>
            </w:r>
          </w:p>
        </w:tc>
        <w:tc>
          <w:tcPr>
            <w:tcW w:w="576"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288 258</w:t>
            </w:r>
          </w:p>
        </w:tc>
        <w:tc>
          <w:tcPr>
            <w:tcW w:w="540" w:type="pct"/>
            <w:tcBorders>
              <w:top w:val="nil"/>
              <w:left w:val="nil"/>
              <w:bottom w:val="nil"/>
              <w:right w:val="nil"/>
            </w:tcBorders>
            <w:shd w:val="clear" w:color="auto" w:fill="auto"/>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290 453</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292 443</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298 485</w:t>
            </w:r>
          </w:p>
        </w:tc>
        <w:tc>
          <w:tcPr>
            <w:tcW w:w="616"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312 906</w:t>
            </w:r>
          </w:p>
        </w:tc>
      </w:tr>
      <w:tr w:rsidR="008C6770" w:rsidRPr="002F714E" w:rsidTr="00A35D87">
        <w:trPr>
          <w:trHeight w:val="450"/>
        </w:trPr>
        <w:tc>
          <w:tcPr>
            <w:tcW w:w="871" w:type="pct"/>
            <w:tcBorders>
              <w:top w:val="nil"/>
              <w:left w:val="nil"/>
              <w:bottom w:val="nil"/>
              <w:right w:val="nil"/>
            </w:tcBorders>
            <w:shd w:val="clear" w:color="auto" w:fill="auto"/>
            <w:hideMark/>
          </w:tcPr>
          <w:p w:rsidR="008C6770" w:rsidRPr="002F714E" w:rsidRDefault="008C6770" w:rsidP="008C6770">
            <w:pPr>
              <w:spacing w:after="0" w:line="240" w:lineRule="auto"/>
              <w:rPr>
                <w:rFonts w:ascii="Arial" w:eastAsia="Times New Roman" w:hAnsi="Arial" w:cs="Arial"/>
                <w:sz w:val="16"/>
                <w:szCs w:val="16"/>
                <w:lang w:eastAsia="hu-HU"/>
              </w:rPr>
            </w:pPr>
            <w:r w:rsidRPr="002F714E">
              <w:rPr>
                <w:rFonts w:ascii="Arial" w:eastAsia="Times New Roman" w:hAnsi="Arial" w:cs="Arial"/>
                <w:sz w:val="16"/>
                <w:szCs w:val="16"/>
                <w:lang w:eastAsia="hu-HU"/>
              </w:rPr>
              <w:t>2 felnőtt 4 gyermekkel</w:t>
            </w:r>
          </w:p>
        </w:tc>
        <w:tc>
          <w:tcPr>
            <w:tcW w:w="593"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318 052</w:t>
            </w:r>
          </w:p>
        </w:tc>
        <w:tc>
          <w:tcPr>
            <w:tcW w:w="594"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323 787</w:t>
            </w:r>
          </w:p>
        </w:tc>
        <w:tc>
          <w:tcPr>
            <w:tcW w:w="576"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323 199</w:t>
            </w:r>
          </w:p>
        </w:tc>
        <w:tc>
          <w:tcPr>
            <w:tcW w:w="540" w:type="pct"/>
            <w:tcBorders>
              <w:top w:val="nil"/>
              <w:left w:val="nil"/>
              <w:bottom w:val="nil"/>
              <w:right w:val="nil"/>
            </w:tcBorders>
            <w:shd w:val="clear" w:color="auto" w:fill="auto"/>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325 659</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327 890</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334 665</w:t>
            </w:r>
          </w:p>
        </w:tc>
        <w:tc>
          <w:tcPr>
            <w:tcW w:w="616"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350 834</w:t>
            </w:r>
          </w:p>
        </w:tc>
      </w:tr>
      <w:tr w:rsidR="008C6770" w:rsidRPr="002F714E" w:rsidTr="00A35D87">
        <w:trPr>
          <w:trHeight w:val="450"/>
        </w:trPr>
        <w:tc>
          <w:tcPr>
            <w:tcW w:w="871" w:type="pct"/>
            <w:tcBorders>
              <w:top w:val="nil"/>
              <w:left w:val="nil"/>
              <w:bottom w:val="nil"/>
              <w:right w:val="nil"/>
            </w:tcBorders>
            <w:shd w:val="clear" w:color="auto" w:fill="auto"/>
            <w:hideMark/>
          </w:tcPr>
          <w:p w:rsidR="008C6770" w:rsidRPr="002F714E" w:rsidRDefault="008C6770" w:rsidP="008C6770">
            <w:pPr>
              <w:spacing w:after="0" w:line="240" w:lineRule="auto"/>
              <w:rPr>
                <w:rFonts w:ascii="Arial" w:eastAsia="Times New Roman" w:hAnsi="Arial" w:cs="Arial"/>
                <w:sz w:val="16"/>
                <w:szCs w:val="16"/>
                <w:lang w:eastAsia="hu-HU"/>
              </w:rPr>
            </w:pPr>
            <w:r w:rsidRPr="002F714E">
              <w:rPr>
                <w:rFonts w:ascii="Arial" w:eastAsia="Times New Roman" w:hAnsi="Arial" w:cs="Arial"/>
                <w:sz w:val="16"/>
                <w:szCs w:val="16"/>
                <w:lang w:eastAsia="hu-HU"/>
              </w:rPr>
              <w:t>3 aktív korú felnőtt</w:t>
            </w:r>
          </w:p>
        </w:tc>
        <w:tc>
          <w:tcPr>
            <w:tcW w:w="593"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214 900</w:t>
            </w:r>
          </w:p>
        </w:tc>
        <w:tc>
          <w:tcPr>
            <w:tcW w:w="594"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218 775</w:t>
            </w:r>
          </w:p>
        </w:tc>
        <w:tc>
          <w:tcPr>
            <w:tcW w:w="576"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218 378</w:t>
            </w:r>
          </w:p>
        </w:tc>
        <w:tc>
          <w:tcPr>
            <w:tcW w:w="540" w:type="pct"/>
            <w:tcBorders>
              <w:top w:val="nil"/>
              <w:left w:val="nil"/>
              <w:bottom w:val="nil"/>
              <w:right w:val="nil"/>
            </w:tcBorders>
            <w:shd w:val="clear" w:color="auto" w:fill="auto"/>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220 040</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221 548</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226 125</w:t>
            </w:r>
          </w:p>
        </w:tc>
        <w:tc>
          <w:tcPr>
            <w:tcW w:w="616"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237 050</w:t>
            </w:r>
          </w:p>
        </w:tc>
      </w:tr>
      <w:tr w:rsidR="008C6770" w:rsidRPr="002F714E" w:rsidTr="00A35D87">
        <w:trPr>
          <w:trHeight w:val="450"/>
        </w:trPr>
        <w:tc>
          <w:tcPr>
            <w:tcW w:w="871" w:type="pct"/>
            <w:tcBorders>
              <w:top w:val="nil"/>
              <w:left w:val="nil"/>
              <w:bottom w:val="nil"/>
              <w:right w:val="nil"/>
            </w:tcBorders>
            <w:shd w:val="clear" w:color="auto" w:fill="auto"/>
            <w:hideMark/>
          </w:tcPr>
          <w:p w:rsidR="008C6770" w:rsidRPr="002F714E" w:rsidRDefault="008C6770" w:rsidP="008C6770">
            <w:pPr>
              <w:spacing w:after="0" w:line="240" w:lineRule="auto"/>
              <w:rPr>
                <w:rFonts w:ascii="Arial" w:eastAsia="Times New Roman" w:hAnsi="Arial" w:cs="Arial"/>
                <w:sz w:val="16"/>
                <w:szCs w:val="16"/>
                <w:lang w:eastAsia="hu-HU"/>
              </w:rPr>
            </w:pPr>
            <w:r w:rsidRPr="002F714E">
              <w:rPr>
                <w:rFonts w:ascii="Arial" w:eastAsia="Times New Roman" w:hAnsi="Arial" w:cs="Arial"/>
                <w:sz w:val="16"/>
                <w:szCs w:val="16"/>
                <w:lang w:eastAsia="hu-HU"/>
              </w:rPr>
              <w:t>3 felnőtt 1 gyermekkel</w:t>
            </w:r>
          </w:p>
        </w:tc>
        <w:tc>
          <w:tcPr>
            <w:tcW w:w="593"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270 774</w:t>
            </w:r>
          </w:p>
        </w:tc>
        <w:tc>
          <w:tcPr>
            <w:tcW w:w="594"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275 657</w:t>
            </w:r>
          </w:p>
        </w:tc>
        <w:tc>
          <w:tcPr>
            <w:tcW w:w="576"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275 156</w:t>
            </w:r>
          </w:p>
        </w:tc>
        <w:tc>
          <w:tcPr>
            <w:tcW w:w="540" w:type="pct"/>
            <w:tcBorders>
              <w:top w:val="nil"/>
              <w:left w:val="nil"/>
              <w:bottom w:val="nil"/>
              <w:right w:val="nil"/>
            </w:tcBorders>
            <w:shd w:val="clear" w:color="auto" w:fill="auto"/>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277 250</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279 150</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284 918</w:t>
            </w:r>
          </w:p>
        </w:tc>
        <w:tc>
          <w:tcPr>
            <w:tcW w:w="616"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298 683</w:t>
            </w:r>
          </w:p>
        </w:tc>
      </w:tr>
      <w:tr w:rsidR="008C6770" w:rsidRPr="002F714E" w:rsidTr="00A35D87">
        <w:trPr>
          <w:trHeight w:val="450"/>
        </w:trPr>
        <w:tc>
          <w:tcPr>
            <w:tcW w:w="871" w:type="pct"/>
            <w:tcBorders>
              <w:top w:val="nil"/>
              <w:left w:val="nil"/>
              <w:bottom w:val="nil"/>
              <w:right w:val="nil"/>
            </w:tcBorders>
            <w:shd w:val="clear" w:color="auto" w:fill="auto"/>
            <w:hideMark/>
          </w:tcPr>
          <w:p w:rsidR="008C6770" w:rsidRPr="002F714E" w:rsidRDefault="008C6770" w:rsidP="008C6770">
            <w:pPr>
              <w:spacing w:after="0" w:line="240" w:lineRule="auto"/>
              <w:rPr>
                <w:rFonts w:ascii="Arial" w:eastAsia="Times New Roman" w:hAnsi="Arial" w:cs="Arial"/>
                <w:sz w:val="16"/>
                <w:szCs w:val="16"/>
                <w:lang w:eastAsia="hu-HU"/>
              </w:rPr>
            </w:pPr>
            <w:r w:rsidRPr="002F714E">
              <w:rPr>
                <w:rFonts w:ascii="Arial" w:eastAsia="Times New Roman" w:hAnsi="Arial" w:cs="Arial"/>
                <w:sz w:val="16"/>
                <w:szCs w:val="16"/>
                <w:lang w:eastAsia="hu-HU"/>
              </w:rPr>
              <w:t>3 felnőtt 2 gyermekkel</w:t>
            </w:r>
          </w:p>
        </w:tc>
        <w:tc>
          <w:tcPr>
            <w:tcW w:w="593"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313 754</w:t>
            </w:r>
          </w:p>
        </w:tc>
        <w:tc>
          <w:tcPr>
            <w:tcW w:w="594"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319 412</w:t>
            </w:r>
          </w:p>
        </w:tc>
        <w:tc>
          <w:tcPr>
            <w:tcW w:w="576"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318 831</w:t>
            </w:r>
          </w:p>
        </w:tc>
        <w:tc>
          <w:tcPr>
            <w:tcW w:w="540" w:type="pct"/>
            <w:tcBorders>
              <w:top w:val="nil"/>
              <w:left w:val="nil"/>
              <w:bottom w:val="nil"/>
              <w:right w:val="nil"/>
            </w:tcBorders>
            <w:shd w:val="clear" w:color="auto" w:fill="auto"/>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321 258</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323 459</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330 143</w:t>
            </w:r>
          </w:p>
        </w:tc>
        <w:tc>
          <w:tcPr>
            <w:tcW w:w="616"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346 093</w:t>
            </w:r>
          </w:p>
        </w:tc>
      </w:tr>
      <w:tr w:rsidR="008C6770" w:rsidRPr="002F714E" w:rsidTr="00A35D87">
        <w:trPr>
          <w:trHeight w:val="450"/>
        </w:trPr>
        <w:tc>
          <w:tcPr>
            <w:tcW w:w="871" w:type="pct"/>
            <w:tcBorders>
              <w:top w:val="nil"/>
              <w:left w:val="nil"/>
              <w:bottom w:val="nil"/>
              <w:right w:val="nil"/>
            </w:tcBorders>
            <w:shd w:val="clear" w:color="auto" w:fill="auto"/>
            <w:hideMark/>
          </w:tcPr>
          <w:p w:rsidR="008C6770" w:rsidRPr="002F714E" w:rsidRDefault="008C6770" w:rsidP="008C6770">
            <w:pPr>
              <w:spacing w:after="0" w:line="240" w:lineRule="auto"/>
              <w:rPr>
                <w:rFonts w:ascii="Arial" w:eastAsia="Times New Roman" w:hAnsi="Arial" w:cs="Arial"/>
                <w:sz w:val="16"/>
                <w:szCs w:val="16"/>
                <w:lang w:eastAsia="hu-HU"/>
              </w:rPr>
            </w:pPr>
            <w:r w:rsidRPr="002F714E">
              <w:rPr>
                <w:rFonts w:ascii="Arial" w:eastAsia="Times New Roman" w:hAnsi="Arial" w:cs="Arial"/>
                <w:sz w:val="16"/>
                <w:szCs w:val="16"/>
                <w:lang w:eastAsia="hu-HU"/>
              </w:rPr>
              <w:t>3 felnőtt 3 gyermekkel</w:t>
            </w:r>
          </w:p>
        </w:tc>
        <w:tc>
          <w:tcPr>
            <w:tcW w:w="593"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348 138</w:t>
            </w:r>
          </w:p>
        </w:tc>
        <w:tc>
          <w:tcPr>
            <w:tcW w:w="594"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354 416</w:t>
            </w:r>
          </w:p>
        </w:tc>
        <w:tc>
          <w:tcPr>
            <w:tcW w:w="576"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353 772</w:t>
            </w:r>
          </w:p>
        </w:tc>
        <w:tc>
          <w:tcPr>
            <w:tcW w:w="540" w:type="pct"/>
            <w:tcBorders>
              <w:top w:val="nil"/>
              <w:left w:val="nil"/>
              <w:bottom w:val="nil"/>
              <w:right w:val="nil"/>
            </w:tcBorders>
            <w:shd w:val="clear" w:color="auto" w:fill="auto"/>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356 465</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358 907</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366 323</w:t>
            </w:r>
          </w:p>
        </w:tc>
        <w:tc>
          <w:tcPr>
            <w:tcW w:w="616"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384 021</w:t>
            </w:r>
          </w:p>
        </w:tc>
      </w:tr>
      <w:tr w:rsidR="008C6770" w:rsidRPr="002F714E" w:rsidTr="00A35D87">
        <w:trPr>
          <w:trHeight w:val="450"/>
        </w:trPr>
        <w:tc>
          <w:tcPr>
            <w:tcW w:w="871" w:type="pct"/>
            <w:tcBorders>
              <w:top w:val="nil"/>
              <w:left w:val="nil"/>
              <w:bottom w:val="nil"/>
              <w:right w:val="nil"/>
            </w:tcBorders>
            <w:shd w:val="clear" w:color="auto" w:fill="auto"/>
            <w:hideMark/>
          </w:tcPr>
          <w:p w:rsidR="008C6770" w:rsidRPr="002F714E" w:rsidRDefault="008C6770" w:rsidP="008C6770">
            <w:pPr>
              <w:spacing w:after="0" w:line="240" w:lineRule="auto"/>
              <w:rPr>
                <w:rFonts w:ascii="Arial" w:eastAsia="Times New Roman" w:hAnsi="Arial" w:cs="Arial"/>
                <w:sz w:val="16"/>
                <w:szCs w:val="16"/>
                <w:lang w:eastAsia="hu-HU"/>
              </w:rPr>
            </w:pPr>
            <w:r w:rsidRPr="002F714E">
              <w:rPr>
                <w:rFonts w:ascii="Arial" w:eastAsia="Times New Roman" w:hAnsi="Arial" w:cs="Arial"/>
                <w:sz w:val="16"/>
                <w:szCs w:val="16"/>
                <w:lang w:eastAsia="hu-HU"/>
              </w:rPr>
              <w:t>3 felnőtt 4 gyermekkel</w:t>
            </w:r>
          </w:p>
        </w:tc>
        <w:tc>
          <w:tcPr>
            <w:tcW w:w="593"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382 522</w:t>
            </w:r>
          </w:p>
        </w:tc>
        <w:tc>
          <w:tcPr>
            <w:tcW w:w="594"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389 420</w:t>
            </w:r>
          </w:p>
        </w:tc>
        <w:tc>
          <w:tcPr>
            <w:tcW w:w="576"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388 712</w:t>
            </w:r>
          </w:p>
        </w:tc>
        <w:tc>
          <w:tcPr>
            <w:tcW w:w="540" w:type="pct"/>
            <w:tcBorders>
              <w:top w:val="nil"/>
              <w:left w:val="nil"/>
              <w:bottom w:val="nil"/>
              <w:right w:val="nil"/>
            </w:tcBorders>
            <w:shd w:val="clear" w:color="auto" w:fill="auto"/>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391 671</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394 355</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402 503</w:t>
            </w:r>
          </w:p>
        </w:tc>
        <w:tc>
          <w:tcPr>
            <w:tcW w:w="616"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421 949</w:t>
            </w:r>
          </w:p>
        </w:tc>
      </w:tr>
      <w:tr w:rsidR="00570E12" w:rsidRPr="002F714E" w:rsidTr="00A35D87">
        <w:trPr>
          <w:trHeight w:val="300"/>
        </w:trPr>
        <w:tc>
          <w:tcPr>
            <w:tcW w:w="5000" w:type="pct"/>
            <w:gridSpan w:val="8"/>
            <w:tcBorders>
              <w:top w:val="nil"/>
              <w:left w:val="nil"/>
              <w:bottom w:val="nil"/>
              <w:right w:val="nil"/>
            </w:tcBorders>
            <w:shd w:val="clear" w:color="auto" w:fill="auto"/>
            <w:noWrap/>
            <w:hideMark/>
          </w:tcPr>
          <w:p w:rsidR="00570E12" w:rsidRDefault="00570E12" w:rsidP="00A35D87">
            <w:pPr>
              <w:spacing w:after="0" w:line="240" w:lineRule="auto"/>
              <w:jc w:val="center"/>
              <w:rPr>
                <w:rFonts w:ascii="Arial" w:eastAsia="Times New Roman" w:hAnsi="Arial" w:cs="Arial"/>
                <w:b/>
                <w:bCs/>
                <w:sz w:val="16"/>
                <w:szCs w:val="16"/>
                <w:lang w:eastAsia="hu-HU"/>
              </w:rPr>
            </w:pPr>
          </w:p>
          <w:p w:rsidR="00570E12" w:rsidRDefault="00570E12" w:rsidP="00A35D87">
            <w:pPr>
              <w:spacing w:after="0" w:line="240" w:lineRule="auto"/>
              <w:jc w:val="center"/>
              <w:rPr>
                <w:rFonts w:ascii="Arial" w:eastAsia="Times New Roman" w:hAnsi="Arial" w:cs="Arial"/>
                <w:b/>
                <w:bCs/>
                <w:sz w:val="16"/>
                <w:szCs w:val="16"/>
                <w:lang w:eastAsia="hu-HU"/>
              </w:rPr>
            </w:pPr>
            <w:r w:rsidRPr="002F714E">
              <w:rPr>
                <w:rFonts w:ascii="Arial" w:eastAsia="Times New Roman" w:hAnsi="Arial" w:cs="Arial"/>
                <w:b/>
                <w:bCs/>
                <w:sz w:val="16"/>
                <w:szCs w:val="16"/>
                <w:lang w:eastAsia="hu-HU"/>
              </w:rPr>
              <w:t>Nyugdíjas korúak háztartásai</w:t>
            </w:r>
          </w:p>
          <w:p w:rsidR="00570E12" w:rsidRPr="002F714E" w:rsidRDefault="00570E12" w:rsidP="00A35D87">
            <w:pPr>
              <w:spacing w:after="0" w:line="240" w:lineRule="auto"/>
              <w:jc w:val="center"/>
              <w:rPr>
                <w:rFonts w:ascii="Arial" w:eastAsia="Times New Roman" w:hAnsi="Arial" w:cs="Arial"/>
                <w:b/>
                <w:bCs/>
                <w:sz w:val="16"/>
                <w:szCs w:val="16"/>
                <w:lang w:eastAsia="hu-HU"/>
              </w:rPr>
            </w:pPr>
          </w:p>
        </w:tc>
      </w:tr>
      <w:tr w:rsidR="008C6770" w:rsidRPr="002F714E" w:rsidTr="00A35D87">
        <w:trPr>
          <w:trHeight w:val="300"/>
        </w:trPr>
        <w:tc>
          <w:tcPr>
            <w:tcW w:w="871" w:type="pct"/>
            <w:tcBorders>
              <w:top w:val="nil"/>
              <w:left w:val="nil"/>
              <w:bottom w:val="nil"/>
              <w:right w:val="nil"/>
            </w:tcBorders>
            <w:shd w:val="clear" w:color="auto" w:fill="auto"/>
            <w:hideMark/>
          </w:tcPr>
          <w:p w:rsidR="008C6770" w:rsidRPr="002F714E" w:rsidRDefault="008C6770" w:rsidP="008C6770">
            <w:pPr>
              <w:spacing w:after="0" w:line="240" w:lineRule="auto"/>
              <w:rPr>
                <w:rFonts w:ascii="Arial" w:eastAsia="Times New Roman" w:hAnsi="Arial" w:cs="Arial"/>
                <w:sz w:val="16"/>
                <w:szCs w:val="16"/>
                <w:lang w:eastAsia="hu-HU"/>
              </w:rPr>
            </w:pPr>
            <w:r w:rsidRPr="002F714E">
              <w:rPr>
                <w:rFonts w:ascii="Arial" w:eastAsia="Times New Roman" w:hAnsi="Arial" w:cs="Arial"/>
                <w:sz w:val="16"/>
                <w:szCs w:val="16"/>
                <w:lang w:eastAsia="hu-HU"/>
              </w:rPr>
              <w:t>Egytagú</w:t>
            </w:r>
          </w:p>
        </w:tc>
        <w:tc>
          <w:tcPr>
            <w:tcW w:w="593"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77 364</w:t>
            </w:r>
          </w:p>
        </w:tc>
        <w:tc>
          <w:tcPr>
            <w:tcW w:w="594"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78 759</w:t>
            </w:r>
          </w:p>
        </w:tc>
        <w:tc>
          <w:tcPr>
            <w:tcW w:w="576"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78 616</w:t>
            </w:r>
          </w:p>
        </w:tc>
        <w:tc>
          <w:tcPr>
            <w:tcW w:w="540" w:type="pct"/>
            <w:tcBorders>
              <w:top w:val="nil"/>
              <w:left w:val="nil"/>
              <w:bottom w:val="nil"/>
              <w:right w:val="nil"/>
            </w:tcBorders>
            <w:shd w:val="clear" w:color="auto" w:fill="auto"/>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79 214</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79 757</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81 405</w:t>
            </w:r>
          </w:p>
        </w:tc>
        <w:tc>
          <w:tcPr>
            <w:tcW w:w="616"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85 338</w:t>
            </w:r>
          </w:p>
        </w:tc>
      </w:tr>
      <w:tr w:rsidR="008C6770" w:rsidRPr="002F714E" w:rsidTr="00A35D87">
        <w:trPr>
          <w:trHeight w:val="300"/>
        </w:trPr>
        <w:tc>
          <w:tcPr>
            <w:tcW w:w="871" w:type="pct"/>
            <w:tcBorders>
              <w:top w:val="nil"/>
              <w:left w:val="nil"/>
              <w:bottom w:val="nil"/>
              <w:right w:val="nil"/>
            </w:tcBorders>
            <w:shd w:val="clear" w:color="auto" w:fill="auto"/>
            <w:hideMark/>
          </w:tcPr>
          <w:p w:rsidR="008C6770" w:rsidRPr="002F714E" w:rsidRDefault="008C6770" w:rsidP="008C6770">
            <w:pPr>
              <w:spacing w:after="0" w:line="240" w:lineRule="auto"/>
              <w:rPr>
                <w:rFonts w:ascii="Arial" w:eastAsia="Times New Roman" w:hAnsi="Arial" w:cs="Arial"/>
                <w:sz w:val="16"/>
                <w:szCs w:val="16"/>
                <w:lang w:eastAsia="hu-HU"/>
              </w:rPr>
            </w:pPr>
            <w:r w:rsidRPr="002F714E">
              <w:rPr>
                <w:rFonts w:ascii="Arial" w:eastAsia="Times New Roman" w:hAnsi="Arial" w:cs="Arial"/>
                <w:sz w:val="16"/>
                <w:szCs w:val="16"/>
                <w:lang w:eastAsia="hu-HU"/>
              </w:rPr>
              <w:t>Kéttagú</w:t>
            </w:r>
          </w:p>
        </w:tc>
        <w:tc>
          <w:tcPr>
            <w:tcW w:w="593"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133 238</w:t>
            </w:r>
          </w:p>
        </w:tc>
        <w:tc>
          <w:tcPr>
            <w:tcW w:w="594"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135 641</w:t>
            </w:r>
          </w:p>
        </w:tc>
        <w:tc>
          <w:tcPr>
            <w:tcW w:w="576"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135 394</w:t>
            </w:r>
          </w:p>
        </w:tc>
        <w:tc>
          <w:tcPr>
            <w:tcW w:w="540" w:type="pct"/>
            <w:tcBorders>
              <w:top w:val="nil"/>
              <w:left w:val="nil"/>
              <w:bottom w:val="nil"/>
              <w:right w:val="nil"/>
            </w:tcBorders>
            <w:shd w:val="clear" w:color="auto" w:fill="auto"/>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136 425</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137 359</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140 198</w:t>
            </w:r>
          </w:p>
        </w:tc>
        <w:tc>
          <w:tcPr>
            <w:tcW w:w="616"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146 971</w:t>
            </w:r>
          </w:p>
        </w:tc>
      </w:tr>
      <w:tr w:rsidR="008C6770" w:rsidRPr="002F714E" w:rsidTr="00A35D87">
        <w:trPr>
          <w:trHeight w:val="300"/>
        </w:trPr>
        <w:tc>
          <w:tcPr>
            <w:tcW w:w="871" w:type="pct"/>
            <w:tcBorders>
              <w:top w:val="nil"/>
              <w:left w:val="nil"/>
              <w:bottom w:val="nil"/>
              <w:right w:val="nil"/>
            </w:tcBorders>
            <w:shd w:val="clear" w:color="auto" w:fill="auto"/>
            <w:hideMark/>
          </w:tcPr>
          <w:p w:rsidR="008C6770" w:rsidRPr="002F714E" w:rsidRDefault="008C6770" w:rsidP="008C6770">
            <w:pPr>
              <w:spacing w:after="0" w:line="240" w:lineRule="auto"/>
              <w:rPr>
                <w:rFonts w:ascii="Arial" w:eastAsia="Times New Roman" w:hAnsi="Arial" w:cs="Arial"/>
                <w:sz w:val="16"/>
                <w:szCs w:val="16"/>
                <w:lang w:eastAsia="hu-HU"/>
              </w:rPr>
            </w:pPr>
            <w:r w:rsidRPr="002F714E">
              <w:rPr>
                <w:rFonts w:ascii="Arial" w:eastAsia="Times New Roman" w:hAnsi="Arial" w:cs="Arial"/>
                <w:sz w:val="16"/>
                <w:szCs w:val="16"/>
                <w:lang w:eastAsia="hu-HU"/>
              </w:rPr>
              <w:t>Háromtagú</w:t>
            </w:r>
          </w:p>
        </w:tc>
        <w:tc>
          <w:tcPr>
            <w:tcW w:w="593"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189 112</w:t>
            </w:r>
          </w:p>
        </w:tc>
        <w:tc>
          <w:tcPr>
            <w:tcW w:w="594"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192 522</w:t>
            </w:r>
          </w:p>
        </w:tc>
        <w:tc>
          <w:tcPr>
            <w:tcW w:w="576" w:type="pct"/>
            <w:tcBorders>
              <w:top w:val="nil"/>
              <w:left w:val="nil"/>
              <w:bottom w:val="nil"/>
              <w:right w:val="nil"/>
            </w:tcBorders>
            <w:shd w:val="clear" w:color="auto" w:fill="auto"/>
            <w:vAlign w:val="bottom"/>
            <w:hideMark/>
          </w:tcPr>
          <w:p w:rsidR="008C6770" w:rsidRDefault="008C6770" w:rsidP="008C6770">
            <w:pPr>
              <w:jc w:val="right"/>
              <w:rPr>
                <w:rFonts w:ascii="Arial" w:hAnsi="Arial" w:cs="Arial"/>
                <w:sz w:val="16"/>
                <w:szCs w:val="16"/>
              </w:rPr>
            </w:pPr>
            <w:r>
              <w:rPr>
                <w:rFonts w:ascii="Arial" w:hAnsi="Arial" w:cs="Arial"/>
                <w:sz w:val="16"/>
                <w:szCs w:val="16"/>
              </w:rPr>
              <w:t>192 172</w:t>
            </w:r>
          </w:p>
        </w:tc>
        <w:tc>
          <w:tcPr>
            <w:tcW w:w="540" w:type="pct"/>
            <w:tcBorders>
              <w:top w:val="nil"/>
              <w:left w:val="nil"/>
              <w:bottom w:val="nil"/>
              <w:right w:val="nil"/>
            </w:tcBorders>
            <w:shd w:val="clear" w:color="auto" w:fill="auto"/>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193 635</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194 962</w:t>
            </w:r>
          </w:p>
        </w:tc>
        <w:tc>
          <w:tcPr>
            <w:tcW w:w="605"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198 990</w:t>
            </w:r>
          </w:p>
        </w:tc>
        <w:tc>
          <w:tcPr>
            <w:tcW w:w="616" w:type="pct"/>
            <w:tcBorders>
              <w:top w:val="nil"/>
              <w:left w:val="nil"/>
              <w:bottom w:val="nil"/>
              <w:right w:val="nil"/>
            </w:tcBorders>
            <w:shd w:val="clear" w:color="auto" w:fill="auto"/>
            <w:noWrap/>
            <w:vAlign w:val="bottom"/>
            <w:hideMark/>
          </w:tcPr>
          <w:p w:rsidR="008C6770" w:rsidRDefault="008C6770" w:rsidP="008C6770">
            <w:pPr>
              <w:jc w:val="right"/>
              <w:rPr>
                <w:rFonts w:ascii="Calibri" w:hAnsi="Calibri" w:cs="Calibri"/>
                <w:color w:val="000000"/>
                <w:sz w:val="16"/>
                <w:szCs w:val="16"/>
              </w:rPr>
            </w:pPr>
            <w:r>
              <w:rPr>
                <w:rFonts w:ascii="Calibri" w:hAnsi="Calibri" w:cs="Calibri"/>
                <w:color w:val="000000"/>
                <w:sz w:val="16"/>
                <w:szCs w:val="16"/>
              </w:rPr>
              <w:t>208 604</w:t>
            </w:r>
          </w:p>
        </w:tc>
      </w:tr>
    </w:tbl>
    <w:p w:rsidR="00570E12" w:rsidRDefault="00570E12" w:rsidP="00A53D62"/>
    <w:sectPr w:rsidR="00570E12" w:rsidSect="00A53D6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630" w:rsidRDefault="007E6630" w:rsidP="00A53D62">
      <w:pPr>
        <w:spacing w:after="0" w:line="240" w:lineRule="auto"/>
      </w:pPr>
      <w:r>
        <w:separator/>
      </w:r>
    </w:p>
  </w:endnote>
  <w:endnote w:type="continuationSeparator" w:id="0">
    <w:p w:rsidR="007E6630" w:rsidRDefault="007E6630" w:rsidP="00A5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254639"/>
      <w:docPartObj>
        <w:docPartGallery w:val="Page Numbers (Bottom of Page)"/>
        <w:docPartUnique/>
      </w:docPartObj>
    </w:sdtPr>
    <w:sdtEndPr/>
    <w:sdtContent>
      <w:p w:rsidR="00A35D87" w:rsidRDefault="00A35D87">
        <w:pPr>
          <w:pStyle w:val="llb"/>
          <w:jc w:val="right"/>
        </w:pPr>
        <w:r>
          <w:fldChar w:fldCharType="begin"/>
        </w:r>
        <w:r>
          <w:instrText>PAGE   \* MERGEFORMAT</w:instrText>
        </w:r>
        <w:r>
          <w:fldChar w:fldCharType="separate"/>
        </w:r>
        <w:r w:rsidR="00731075">
          <w:rPr>
            <w:noProof/>
          </w:rPr>
          <w:t>8</w:t>
        </w:r>
        <w:r>
          <w:fldChar w:fldCharType="end"/>
        </w:r>
      </w:p>
    </w:sdtContent>
  </w:sdt>
  <w:p w:rsidR="00A35D87" w:rsidRDefault="00A35D8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630" w:rsidRDefault="007E6630" w:rsidP="00A53D62">
      <w:pPr>
        <w:spacing w:after="0" w:line="240" w:lineRule="auto"/>
      </w:pPr>
      <w:r>
        <w:separator/>
      </w:r>
    </w:p>
  </w:footnote>
  <w:footnote w:type="continuationSeparator" w:id="0">
    <w:p w:rsidR="007E6630" w:rsidRDefault="007E6630" w:rsidP="00A53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csostblzat"/>
      <w:tblW w:w="11341" w:type="dxa"/>
      <w:tblInd w:w="-1139" w:type="dxa"/>
      <w:shd w:val="clear" w:color="auto" w:fill="D9D9D9" w:themeFill="background1" w:themeFillShade="D9"/>
      <w:tblLook w:val="04A0" w:firstRow="1" w:lastRow="0" w:firstColumn="1" w:lastColumn="0" w:noHBand="0" w:noVBand="1"/>
    </w:tblPr>
    <w:tblGrid>
      <w:gridCol w:w="3120"/>
      <w:gridCol w:w="5528"/>
      <w:gridCol w:w="2693"/>
    </w:tblGrid>
    <w:tr w:rsidR="00A35D87" w:rsidRPr="00A53D62" w:rsidTr="00321196">
      <w:trPr>
        <w:trHeight w:val="2257"/>
      </w:trPr>
      <w:tc>
        <w:tcPr>
          <w:tcW w:w="3120" w:type="dxa"/>
          <w:tcBorders>
            <w:right w:val="nil"/>
          </w:tcBorders>
          <w:shd w:val="clear" w:color="auto" w:fill="auto"/>
        </w:tcPr>
        <w:p w:rsidR="00A35D87" w:rsidRDefault="00A35D87" w:rsidP="00A53D62">
          <w:pPr>
            <w:contextualSpacing/>
            <w:jc w:val="center"/>
            <w:rPr>
              <w:rFonts w:asciiTheme="majorHAnsi" w:eastAsiaTheme="majorEastAsia" w:hAnsiTheme="majorHAnsi" w:cstheme="majorBidi"/>
              <w:spacing w:val="-10"/>
              <w:kern w:val="28"/>
              <w:sz w:val="56"/>
              <w:szCs w:val="56"/>
              <w:lang w:eastAsia="hu-HU"/>
            </w:rPr>
          </w:pPr>
          <w:r w:rsidRPr="00A53D62">
            <w:rPr>
              <w:rFonts w:asciiTheme="majorHAnsi" w:eastAsiaTheme="majorEastAsia" w:hAnsiTheme="majorHAnsi" w:cstheme="majorBidi"/>
              <w:noProof/>
              <w:spacing w:val="-10"/>
              <w:kern w:val="28"/>
              <w:sz w:val="56"/>
              <w:szCs w:val="56"/>
              <w:lang w:eastAsia="hu-HU"/>
            </w:rPr>
            <w:drawing>
              <wp:inline distT="0" distB="0" distL="0" distR="0" wp14:anchorId="44CA3852" wp14:editId="1CDF7509">
                <wp:extent cx="1667387" cy="523875"/>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icylogó.jpg"/>
                        <pic:cNvPicPr/>
                      </pic:nvPicPr>
                      <pic:blipFill>
                        <a:blip r:embed="rId1">
                          <a:extLst>
                            <a:ext uri="{28A0092B-C50C-407E-A947-70E740481C1C}">
                              <a14:useLocalDpi xmlns:a14="http://schemas.microsoft.com/office/drawing/2010/main" val="0"/>
                            </a:ext>
                          </a:extLst>
                        </a:blip>
                        <a:stretch>
                          <a:fillRect/>
                        </a:stretch>
                      </pic:blipFill>
                      <pic:spPr>
                        <a:xfrm>
                          <a:off x="0" y="0"/>
                          <a:ext cx="1676359" cy="526694"/>
                        </a:xfrm>
                        <a:prstGeom prst="rect">
                          <a:avLst/>
                        </a:prstGeom>
                      </pic:spPr>
                    </pic:pic>
                  </a:graphicData>
                </a:graphic>
              </wp:inline>
            </w:drawing>
          </w:r>
          <w:r w:rsidRPr="00A53D62">
            <w:rPr>
              <w:rFonts w:asciiTheme="majorHAnsi" w:eastAsiaTheme="majorEastAsia" w:hAnsiTheme="majorHAnsi" w:cstheme="majorBidi"/>
              <w:noProof/>
              <w:spacing w:val="-10"/>
              <w:kern w:val="28"/>
              <w:sz w:val="56"/>
              <w:szCs w:val="56"/>
              <w:lang w:eastAsia="hu-HU"/>
            </w:rPr>
            <w:drawing>
              <wp:anchor distT="0" distB="0" distL="114300" distR="114300" simplePos="0" relativeHeight="251660288" behindDoc="0" locked="0" layoutInCell="1" allowOverlap="1" wp14:anchorId="4399AC8A" wp14:editId="797D14E7">
                <wp:simplePos x="0" y="0"/>
                <wp:positionH relativeFrom="column">
                  <wp:posOffset>81280</wp:posOffset>
                </wp:positionH>
                <wp:positionV relativeFrom="paragraph">
                  <wp:posOffset>304800</wp:posOffset>
                </wp:positionV>
                <wp:extent cx="1663452" cy="904875"/>
                <wp:effectExtent l="0" t="0" r="0" b="0"/>
                <wp:wrapSquare wrapText="bothSides"/>
                <wp:docPr id="2" name="Kép 2" descr="masz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z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3452" cy="904875"/>
                        </a:xfrm>
                        <a:prstGeom prst="rect">
                          <a:avLst/>
                        </a:prstGeom>
                        <a:noFill/>
                        <a:ln>
                          <a:noFill/>
                        </a:ln>
                      </pic:spPr>
                    </pic:pic>
                  </a:graphicData>
                </a:graphic>
              </wp:anchor>
            </w:drawing>
          </w:r>
        </w:p>
        <w:p w:rsidR="00A35D87" w:rsidRPr="00A53D62" w:rsidRDefault="00A35D87" w:rsidP="00A53D62">
          <w:pPr>
            <w:tabs>
              <w:tab w:val="left" w:pos="2130"/>
            </w:tabs>
            <w:rPr>
              <w:rFonts w:asciiTheme="majorHAnsi" w:eastAsiaTheme="majorEastAsia" w:hAnsiTheme="majorHAnsi" w:cstheme="majorBidi"/>
              <w:sz w:val="56"/>
              <w:szCs w:val="56"/>
              <w:lang w:eastAsia="hu-HU"/>
            </w:rPr>
          </w:pPr>
          <w:r>
            <w:rPr>
              <w:rFonts w:asciiTheme="majorHAnsi" w:eastAsiaTheme="majorEastAsia" w:hAnsiTheme="majorHAnsi" w:cstheme="majorBidi"/>
              <w:sz w:val="56"/>
              <w:szCs w:val="56"/>
              <w:lang w:eastAsia="hu-HU"/>
            </w:rPr>
            <w:tab/>
          </w:r>
        </w:p>
      </w:tc>
      <w:tc>
        <w:tcPr>
          <w:tcW w:w="5528" w:type="dxa"/>
          <w:tcBorders>
            <w:left w:val="nil"/>
            <w:right w:val="nil"/>
          </w:tcBorders>
          <w:shd w:val="clear" w:color="auto" w:fill="D9D9D9" w:themeFill="background1" w:themeFillShade="D9"/>
        </w:tcPr>
        <w:p w:rsidR="00A35D87" w:rsidRPr="00A53D62" w:rsidRDefault="00A35D87" w:rsidP="00A53D62">
          <w:pPr>
            <w:jc w:val="center"/>
            <w:rPr>
              <w:rFonts w:ascii="Arial Black" w:hAnsi="Arial Black"/>
            </w:rPr>
          </w:pPr>
        </w:p>
        <w:p w:rsidR="00A35D87" w:rsidRPr="00A53D62" w:rsidRDefault="00A35D87" w:rsidP="00A53D62">
          <w:pPr>
            <w:jc w:val="center"/>
            <w:rPr>
              <w:rFonts w:ascii="Arial Black" w:hAnsi="Arial Black"/>
            </w:rPr>
          </w:pPr>
        </w:p>
        <w:p w:rsidR="00A35D87" w:rsidRPr="00A53D62" w:rsidRDefault="00A35D87" w:rsidP="00A53D62">
          <w:pPr>
            <w:jc w:val="center"/>
            <w:rPr>
              <w:rFonts w:ascii="Arial Black" w:hAnsi="Arial Black"/>
              <w:sz w:val="40"/>
              <w:szCs w:val="40"/>
            </w:rPr>
          </w:pPr>
          <w:r w:rsidRPr="00A53D62">
            <w:rPr>
              <w:rFonts w:ascii="Arial Black" w:hAnsi="Arial Black"/>
              <w:sz w:val="40"/>
              <w:szCs w:val="40"/>
            </w:rPr>
            <w:t>LÉTMINIMUM és TÁRSADALMI MINIMUM</w:t>
          </w:r>
        </w:p>
        <w:p w:rsidR="00A35D87" w:rsidRDefault="00A35D87" w:rsidP="00A53D62">
          <w:pPr>
            <w:jc w:val="center"/>
            <w:rPr>
              <w:rFonts w:ascii="Arial Black" w:hAnsi="Arial Black"/>
              <w:sz w:val="40"/>
              <w:szCs w:val="40"/>
            </w:rPr>
          </w:pPr>
          <w:r w:rsidRPr="00A53D62">
            <w:rPr>
              <w:rFonts w:ascii="Arial Black" w:hAnsi="Arial Black"/>
              <w:sz w:val="40"/>
              <w:szCs w:val="40"/>
            </w:rPr>
            <w:t>201</w:t>
          </w:r>
          <w:r>
            <w:rPr>
              <w:rFonts w:ascii="Arial Black" w:hAnsi="Arial Black"/>
              <w:sz w:val="40"/>
              <w:szCs w:val="40"/>
            </w:rPr>
            <w:t>9</w:t>
          </w:r>
          <w:r w:rsidRPr="00A53D62">
            <w:rPr>
              <w:rFonts w:ascii="Arial Black" w:hAnsi="Arial Black"/>
              <w:sz w:val="40"/>
              <w:szCs w:val="40"/>
            </w:rPr>
            <w:t>-B</w:t>
          </w:r>
          <w:r>
            <w:rPr>
              <w:rFonts w:ascii="Arial Black" w:hAnsi="Arial Black"/>
              <w:sz w:val="40"/>
              <w:szCs w:val="40"/>
            </w:rPr>
            <w:t>E</w:t>
          </w:r>
          <w:r w:rsidRPr="00A53D62">
            <w:rPr>
              <w:rFonts w:ascii="Arial Black" w:hAnsi="Arial Black"/>
              <w:sz w:val="40"/>
              <w:szCs w:val="40"/>
            </w:rPr>
            <w:t>N MAGYARORSZÁGON</w:t>
          </w:r>
        </w:p>
        <w:p w:rsidR="00A35D87" w:rsidRPr="00A53D62" w:rsidRDefault="00A35D87" w:rsidP="00A53D62">
          <w:pPr>
            <w:jc w:val="center"/>
            <w:rPr>
              <w:rFonts w:ascii="Arial Black" w:hAnsi="Arial Black"/>
              <w:sz w:val="40"/>
              <w:szCs w:val="40"/>
            </w:rPr>
          </w:pPr>
          <w:r>
            <w:rPr>
              <w:rFonts w:ascii="Arial Black" w:hAnsi="Arial Black"/>
              <w:sz w:val="40"/>
              <w:szCs w:val="40"/>
            </w:rPr>
            <w:t>(</w:t>
          </w:r>
          <w:r w:rsidRPr="00570E12">
            <w:rPr>
              <w:rFonts w:ascii="Arial Black" w:hAnsi="Arial Black"/>
              <w:sz w:val="40"/>
              <w:szCs w:val="40"/>
              <w:u w:val="single"/>
            </w:rPr>
            <w:t>előzetes adatok</w:t>
          </w:r>
          <w:r>
            <w:rPr>
              <w:rFonts w:ascii="Arial Black" w:hAnsi="Arial Black"/>
              <w:sz w:val="40"/>
              <w:szCs w:val="40"/>
            </w:rPr>
            <w:t>)</w:t>
          </w:r>
        </w:p>
        <w:p w:rsidR="00A35D87" w:rsidRPr="00A53D62" w:rsidRDefault="00A35D87" w:rsidP="00A53D62">
          <w:pPr>
            <w:jc w:val="right"/>
            <w:rPr>
              <w:rFonts w:ascii="Arial Black" w:hAnsi="Arial Black"/>
              <w:sz w:val="20"/>
              <w:szCs w:val="20"/>
            </w:rPr>
          </w:pPr>
        </w:p>
        <w:p w:rsidR="00A35D87" w:rsidRPr="00A53D62" w:rsidRDefault="00A35D87" w:rsidP="00A53D62">
          <w:pPr>
            <w:jc w:val="center"/>
            <w:rPr>
              <w:sz w:val="20"/>
              <w:szCs w:val="20"/>
            </w:rPr>
          </w:pPr>
          <w:r w:rsidRPr="00A53D62">
            <w:rPr>
              <w:sz w:val="20"/>
              <w:szCs w:val="20"/>
            </w:rPr>
            <w:t>20</w:t>
          </w:r>
          <w:r>
            <w:rPr>
              <w:sz w:val="20"/>
              <w:szCs w:val="20"/>
            </w:rPr>
            <w:t>20</w:t>
          </w:r>
          <w:r w:rsidRPr="00A53D62">
            <w:rPr>
              <w:sz w:val="20"/>
              <w:szCs w:val="20"/>
            </w:rPr>
            <w:t xml:space="preserve">. </w:t>
          </w:r>
          <w:r>
            <w:rPr>
              <w:sz w:val="20"/>
              <w:szCs w:val="20"/>
            </w:rPr>
            <w:t>július 03</w:t>
          </w:r>
          <w:r w:rsidRPr="00A53D62">
            <w:rPr>
              <w:sz w:val="20"/>
              <w:szCs w:val="20"/>
            </w:rPr>
            <w:t>.</w:t>
          </w:r>
        </w:p>
        <w:p w:rsidR="00A35D87" w:rsidRPr="00A53D62" w:rsidRDefault="00A35D87" w:rsidP="00A53D62">
          <w:pPr>
            <w:jc w:val="center"/>
            <w:rPr>
              <w:lang w:eastAsia="hu-HU"/>
            </w:rPr>
          </w:pPr>
        </w:p>
      </w:tc>
      <w:tc>
        <w:tcPr>
          <w:tcW w:w="2693" w:type="dxa"/>
          <w:tcBorders>
            <w:left w:val="nil"/>
          </w:tcBorders>
          <w:shd w:val="clear" w:color="auto" w:fill="auto"/>
        </w:tcPr>
        <w:p w:rsidR="00A35D87" w:rsidRPr="00A53D62" w:rsidRDefault="00A35D87" w:rsidP="00A53D62">
          <w:pPr>
            <w:contextualSpacing/>
            <w:jc w:val="center"/>
            <w:rPr>
              <w:rFonts w:asciiTheme="majorHAnsi" w:eastAsiaTheme="majorEastAsia" w:hAnsiTheme="majorHAnsi" w:cstheme="majorBidi"/>
              <w:spacing w:val="-10"/>
              <w:kern w:val="28"/>
              <w:sz w:val="56"/>
              <w:szCs w:val="56"/>
              <w:lang w:eastAsia="hu-HU"/>
            </w:rPr>
          </w:pPr>
          <w:r w:rsidRPr="00A53D62">
            <w:rPr>
              <w:rFonts w:asciiTheme="majorHAnsi" w:eastAsiaTheme="majorEastAsia" w:hAnsiTheme="majorHAnsi" w:cstheme="majorBidi"/>
              <w:noProof/>
              <w:spacing w:val="-10"/>
              <w:kern w:val="28"/>
              <w:sz w:val="56"/>
              <w:szCs w:val="56"/>
              <w:lang w:eastAsia="hu-HU"/>
            </w:rPr>
            <w:drawing>
              <wp:anchor distT="0" distB="0" distL="114300" distR="114300" simplePos="0" relativeHeight="251659264" behindDoc="0" locked="0" layoutInCell="1" allowOverlap="1" wp14:anchorId="4E97DBE7" wp14:editId="32DBFBAB">
                <wp:simplePos x="0" y="0"/>
                <wp:positionH relativeFrom="column">
                  <wp:posOffset>57150</wp:posOffset>
                </wp:positionH>
                <wp:positionV relativeFrom="paragraph">
                  <wp:posOffset>295275</wp:posOffset>
                </wp:positionV>
                <wp:extent cx="1480820" cy="819150"/>
                <wp:effectExtent l="0" t="0" r="5080" b="0"/>
                <wp:wrapSquare wrapText="bothSides"/>
                <wp:docPr id="3" name="Kép 3"/>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80820" cy="819150"/>
                        </a:xfrm>
                        <a:prstGeom prst="rect">
                          <a:avLst/>
                        </a:prstGeom>
                        <a:noFill/>
                        <a:ln>
                          <a:noFill/>
                        </a:ln>
                      </pic:spPr>
                    </pic:pic>
                  </a:graphicData>
                </a:graphic>
              </wp:anchor>
            </w:drawing>
          </w:r>
        </w:p>
      </w:tc>
    </w:tr>
  </w:tbl>
  <w:p w:rsidR="00A35D87" w:rsidRDefault="00A35D8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53A2A"/>
    <w:multiLevelType w:val="hybridMultilevel"/>
    <w:tmpl w:val="335A6784"/>
    <w:lvl w:ilvl="0" w:tplc="BCCC969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0752CE"/>
    <w:multiLevelType w:val="hybridMultilevel"/>
    <w:tmpl w:val="5454A6A2"/>
    <w:lvl w:ilvl="0" w:tplc="02AA758E">
      <w:start w:val="1"/>
      <w:numFmt w:val="decimal"/>
      <w:lvlText w:val="%1."/>
      <w:lvlJc w:val="left"/>
      <w:pPr>
        <w:ind w:left="1080" w:hanging="360"/>
      </w:pPr>
      <w:rPr>
        <w:rFonts w:ascii="Times New Roman" w:hAnsi="Times New Roman"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195505EA"/>
    <w:multiLevelType w:val="hybridMultilevel"/>
    <w:tmpl w:val="78968C48"/>
    <w:lvl w:ilvl="0" w:tplc="02AA758E">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23F536CD"/>
    <w:multiLevelType w:val="hybridMultilevel"/>
    <w:tmpl w:val="DA4420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B936605"/>
    <w:multiLevelType w:val="hybridMultilevel"/>
    <w:tmpl w:val="D3C49734"/>
    <w:lvl w:ilvl="0" w:tplc="6442C3CA">
      <w:start w:val="6"/>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31277389"/>
    <w:multiLevelType w:val="hybridMultilevel"/>
    <w:tmpl w:val="5454A6A2"/>
    <w:lvl w:ilvl="0" w:tplc="02AA758E">
      <w:start w:val="1"/>
      <w:numFmt w:val="decimal"/>
      <w:lvlText w:val="%1."/>
      <w:lvlJc w:val="left"/>
      <w:pPr>
        <w:ind w:left="1080" w:hanging="360"/>
      </w:pPr>
      <w:rPr>
        <w:rFonts w:ascii="Times New Roman" w:hAnsi="Times New Roman"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3C52499B"/>
    <w:multiLevelType w:val="hybridMultilevel"/>
    <w:tmpl w:val="D090AA4E"/>
    <w:lvl w:ilvl="0" w:tplc="0D82B7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96E6B3D"/>
    <w:multiLevelType w:val="hybridMultilevel"/>
    <w:tmpl w:val="16503906"/>
    <w:lvl w:ilvl="0" w:tplc="B942B07C">
      <w:start w:val="3"/>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5"/>
  </w:num>
  <w:num w:numId="2">
    <w:abstractNumId w:val="6"/>
  </w:num>
  <w:num w:numId="3">
    <w:abstractNumId w:val="1"/>
  </w:num>
  <w:num w:numId="4">
    <w:abstractNumId w:val="7"/>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62"/>
    <w:rsid w:val="00165426"/>
    <w:rsid w:val="00281B2A"/>
    <w:rsid w:val="00321196"/>
    <w:rsid w:val="00505B56"/>
    <w:rsid w:val="00570E12"/>
    <w:rsid w:val="006C06FD"/>
    <w:rsid w:val="00731075"/>
    <w:rsid w:val="007713C3"/>
    <w:rsid w:val="007E6630"/>
    <w:rsid w:val="007F1D35"/>
    <w:rsid w:val="008C6770"/>
    <w:rsid w:val="00A35D87"/>
    <w:rsid w:val="00A53D62"/>
    <w:rsid w:val="00BC2953"/>
    <w:rsid w:val="00BF305E"/>
    <w:rsid w:val="00ED79BD"/>
    <w:rsid w:val="00FE5A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A4FD29-9E05-4F9C-9D8A-422FB738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3D62"/>
  </w:style>
  <w:style w:type="paragraph" w:styleId="Cmsor1">
    <w:name w:val="heading 1"/>
    <w:basedOn w:val="Norml"/>
    <w:next w:val="Norml"/>
    <w:link w:val="Cmsor1Char"/>
    <w:uiPriority w:val="9"/>
    <w:qFormat/>
    <w:rsid w:val="00570E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53D62"/>
    <w:pPr>
      <w:tabs>
        <w:tab w:val="center" w:pos="4536"/>
        <w:tab w:val="right" w:pos="9072"/>
      </w:tabs>
      <w:spacing w:after="0" w:line="240" w:lineRule="auto"/>
    </w:pPr>
  </w:style>
  <w:style w:type="character" w:customStyle="1" w:styleId="lfejChar">
    <w:name w:val="Élőfej Char"/>
    <w:basedOn w:val="Bekezdsalapbettpusa"/>
    <w:link w:val="lfej"/>
    <w:uiPriority w:val="99"/>
    <w:rsid w:val="00A53D62"/>
  </w:style>
  <w:style w:type="paragraph" w:styleId="llb">
    <w:name w:val="footer"/>
    <w:basedOn w:val="Norml"/>
    <w:link w:val="llbChar"/>
    <w:uiPriority w:val="99"/>
    <w:unhideWhenUsed/>
    <w:rsid w:val="00A53D62"/>
    <w:pPr>
      <w:tabs>
        <w:tab w:val="center" w:pos="4536"/>
        <w:tab w:val="right" w:pos="9072"/>
      </w:tabs>
      <w:spacing w:after="0" w:line="240" w:lineRule="auto"/>
    </w:pPr>
  </w:style>
  <w:style w:type="character" w:customStyle="1" w:styleId="llbChar">
    <w:name w:val="Élőláb Char"/>
    <w:basedOn w:val="Bekezdsalapbettpusa"/>
    <w:link w:val="llb"/>
    <w:uiPriority w:val="99"/>
    <w:rsid w:val="00A53D62"/>
  </w:style>
  <w:style w:type="table" w:styleId="Rcsostblzat">
    <w:name w:val="Table Grid"/>
    <w:basedOn w:val="Normltblzat"/>
    <w:uiPriority w:val="39"/>
    <w:rsid w:val="00A53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A53D62"/>
    <w:pPr>
      <w:ind w:left="720"/>
      <w:contextualSpacing/>
    </w:pPr>
  </w:style>
  <w:style w:type="table" w:styleId="Tblzatrcsos5stt5jellszn">
    <w:name w:val="Grid Table 5 Dark Accent 5"/>
    <w:basedOn w:val="Normltblzat"/>
    <w:uiPriority w:val="50"/>
    <w:rsid w:val="007713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Kiemels2">
    <w:name w:val="Strong"/>
    <w:basedOn w:val="Bekezdsalapbettpusa"/>
    <w:uiPriority w:val="22"/>
    <w:qFormat/>
    <w:rsid w:val="00570E12"/>
    <w:rPr>
      <w:b/>
      <w:bCs/>
    </w:rPr>
  </w:style>
  <w:style w:type="character" w:customStyle="1" w:styleId="Cmsor1Char">
    <w:name w:val="Címsor 1 Char"/>
    <w:basedOn w:val="Bekezdsalapbettpusa"/>
    <w:link w:val="Cmsor1"/>
    <w:uiPriority w:val="9"/>
    <w:rsid w:val="00570E12"/>
    <w:rPr>
      <w:rFonts w:asciiTheme="majorHAnsi" w:eastAsiaTheme="majorEastAsia" w:hAnsiTheme="majorHAnsi" w:cstheme="majorBidi"/>
      <w:color w:val="2E74B5" w:themeColor="accent1" w:themeShade="BF"/>
      <w:sz w:val="32"/>
      <w:szCs w:val="32"/>
    </w:rPr>
  </w:style>
  <w:style w:type="paragraph" w:styleId="NormlWeb">
    <w:name w:val="Normal (Web)"/>
    <w:basedOn w:val="Norml"/>
    <w:uiPriority w:val="99"/>
    <w:semiHidden/>
    <w:unhideWhenUsed/>
    <w:rsid w:val="00570E1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C677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C6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554367">
      <w:bodyDiv w:val="1"/>
      <w:marLeft w:val="0"/>
      <w:marRight w:val="0"/>
      <w:marTop w:val="0"/>
      <w:marBottom w:val="0"/>
      <w:divBdr>
        <w:top w:val="none" w:sz="0" w:space="0" w:color="auto"/>
        <w:left w:val="none" w:sz="0" w:space="0" w:color="auto"/>
        <w:bottom w:val="none" w:sz="0" w:space="0" w:color="auto"/>
        <w:right w:val="none" w:sz="0" w:space="0" w:color="auto"/>
      </w:divBdr>
    </w:div>
    <w:div w:id="1559633393">
      <w:bodyDiv w:val="1"/>
      <w:marLeft w:val="0"/>
      <w:marRight w:val="0"/>
      <w:marTop w:val="0"/>
      <w:marBottom w:val="0"/>
      <w:divBdr>
        <w:top w:val="none" w:sz="0" w:space="0" w:color="auto"/>
        <w:left w:val="none" w:sz="0" w:space="0" w:color="auto"/>
        <w:bottom w:val="none" w:sz="0" w:space="0" w:color="auto"/>
        <w:right w:val="none" w:sz="0" w:space="0" w:color="auto"/>
      </w:divBdr>
    </w:div>
    <w:div w:id="20670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Munkaf&#252;zet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percentStacked"/>
        <c:varyColors val="0"/>
        <c:ser>
          <c:idx val="0"/>
          <c:order val="0"/>
          <c:tx>
            <c:strRef>
              <c:f>'Munka1 (2)'!$A$2</c:f>
              <c:strCache>
                <c:ptCount val="1"/>
                <c:pt idx="0">
                  <c:v>élelmiszer</c:v>
                </c:pt>
              </c:strCache>
            </c:strRef>
          </c:tx>
          <c:spPr>
            <a:solidFill>
              <a:schemeClr val="accent1">
                <a:alpha val="85000"/>
              </a:schemeClr>
            </a:solidFill>
            <a:ln>
              <a:noFill/>
            </a:ln>
            <a:effectLst>
              <a:innerShdw dist="12700" dir="16200000">
                <a:schemeClr val="lt1"/>
              </a:innerShdw>
            </a:effectLst>
          </c:spPr>
          <c:cat>
            <c:numRef>
              <c:f>'Munka1 (2)'!$B$1:$I$1</c:f>
              <c:numCache>
                <c:formatCode>General</c:formatCode>
                <c:ptCount val="8"/>
                <c:pt idx="0">
                  <c:v>2010</c:v>
                </c:pt>
                <c:pt idx="1">
                  <c:v>2011</c:v>
                </c:pt>
                <c:pt idx="2">
                  <c:v>2012</c:v>
                </c:pt>
                <c:pt idx="3">
                  <c:v>2013</c:v>
                </c:pt>
                <c:pt idx="4">
                  <c:v>2014</c:v>
                </c:pt>
                <c:pt idx="5">
                  <c:v>2015</c:v>
                </c:pt>
                <c:pt idx="6">
                  <c:v>2016</c:v>
                </c:pt>
                <c:pt idx="7">
                  <c:v>2017</c:v>
                </c:pt>
              </c:numCache>
            </c:numRef>
          </c:cat>
          <c:val>
            <c:numRef>
              <c:f>'Munka1 (2)'!$B$2:$I$2</c:f>
              <c:numCache>
                <c:formatCode>General</c:formatCode>
                <c:ptCount val="8"/>
                <c:pt idx="0">
                  <c:v>31.3</c:v>
                </c:pt>
                <c:pt idx="1">
                  <c:v>31.4</c:v>
                </c:pt>
                <c:pt idx="2">
                  <c:v>32.4</c:v>
                </c:pt>
                <c:pt idx="3">
                  <c:v>33</c:v>
                </c:pt>
                <c:pt idx="4">
                  <c:v>31.8</c:v>
                </c:pt>
                <c:pt idx="5">
                  <c:v>30.8</c:v>
                </c:pt>
                <c:pt idx="6">
                  <c:v>31.1</c:v>
                </c:pt>
                <c:pt idx="7">
                  <c:v>31.1</c:v>
                </c:pt>
              </c:numCache>
            </c:numRef>
          </c:val>
          <c:extLst xmlns:c16r2="http://schemas.microsoft.com/office/drawing/2015/06/chart">
            <c:ext xmlns:c16="http://schemas.microsoft.com/office/drawing/2014/chart" uri="{C3380CC4-5D6E-409C-BE32-E72D297353CC}">
              <c16:uniqueId val="{00000000-EA8F-4ACD-A75A-BE54E2320DDF}"/>
            </c:ext>
          </c:extLst>
        </c:ser>
        <c:ser>
          <c:idx val="1"/>
          <c:order val="1"/>
          <c:tx>
            <c:strRef>
              <c:f>'Munka1 (2)'!$A$3</c:f>
              <c:strCache>
                <c:ptCount val="1"/>
                <c:pt idx="0">
                  <c:v>lakásfenntartás</c:v>
                </c:pt>
              </c:strCache>
            </c:strRef>
          </c:tx>
          <c:spPr>
            <a:solidFill>
              <a:schemeClr val="accent2">
                <a:alpha val="85000"/>
              </a:schemeClr>
            </a:solidFill>
            <a:ln>
              <a:noFill/>
            </a:ln>
            <a:effectLst>
              <a:innerShdw dist="12700" dir="16200000">
                <a:schemeClr val="lt1"/>
              </a:innerShdw>
            </a:effectLst>
          </c:spPr>
          <c:cat>
            <c:numRef>
              <c:f>'Munka1 (2)'!$B$1:$I$1</c:f>
              <c:numCache>
                <c:formatCode>General</c:formatCode>
                <c:ptCount val="8"/>
                <c:pt idx="0">
                  <c:v>2010</c:v>
                </c:pt>
                <c:pt idx="1">
                  <c:v>2011</c:v>
                </c:pt>
                <c:pt idx="2">
                  <c:v>2012</c:v>
                </c:pt>
                <c:pt idx="3">
                  <c:v>2013</c:v>
                </c:pt>
                <c:pt idx="4">
                  <c:v>2014</c:v>
                </c:pt>
                <c:pt idx="5">
                  <c:v>2015</c:v>
                </c:pt>
                <c:pt idx="6">
                  <c:v>2016</c:v>
                </c:pt>
                <c:pt idx="7">
                  <c:v>2017</c:v>
                </c:pt>
              </c:numCache>
            </c:numRef>
          </c:cat>
          <c:val>
            <c:numRef>
              <c:f>'Munka1 (2)'!$B$3:$I$3</c:f>
              <c:numCache>
                <c:formatCode>General</c:formatCode>
                <c:ptCount val="8"/>
                <c:pt idx="0">
                  <c:v>31.2</c:v>
                </c:pt>
                <c:pt idx="1">
                  <c:v>31.3</c:v>
                </c:pt>
                <c:pt idx="2">
                  <c:v>30.7</c:v>
                </c:pt>
                <c:pt idx="3">
                  <c:v>28.8</c:v>
                </c:pt>
                <c:pt idx="4">
                  <c:v>27.6</c:v>
                </c:pt>
                <c:pt idx="5">
                  <c:v>22.8</c:v>
                </c:pt>
                <c:pt idx="6">
                  <c:v>22.7</c:v>
                </c:pt>
                <c:pt idx="7">
                  <c:v>21.8</c:v>
                </c:pt>
              </c:numCache>
            </c:numRef>
          </c:val>
          <c:extLst xmlns:c16r2="http://schemas.microsoft.com/office/drawing/2015/06/chart">
            <c:ext xmlns:c16="http://schemas.microsoft.com/office/drawing/2014/chart" uri="{C3380CC4-5D6E-409C-BE32-E72D297353CC}">
              <c16:uniqueId val="{00000001-EA8F-4ACD-A75A-BE54E2320DDF}"/>
            </c:ext>
          </c:extLst>
        </c:ser>
        <c:ser>
          <c:idx val="2"/>
          <c:order val="2"/>
          <c:tx>
            <c:strRef>
              <c:f>'Munka1 (2)'!$A$4</c:f>
              <c:strCache>
                <c:ptCount val="1"/>
                <c:pt idx="0">
                  <c:v>közlekedés, hírközlés</c:v>
                </c:pt>
              </c:strCache>
            </c:strRef>
          </c:tx>
          <c:spPr>
            <a:solidFill>
              <a:schemeClr val="accent3">
                <a:alpha val="85000"/>
              </a:schemeClr>
            </a:solidFill>
            <a:ln>
              <a:noFill/>
            </a:ln>
            <a:effectLst>
              <a:innerShdw dist="12700" dir="16200000">
                <a:schemeClr val="lt1"/>
              </a:innerShdw>
            </a:effectLst>
          </c:spPr>
          <c:cat>
            <c:numRef>
              <c:f>'Munka1 (2)'!$B$1:$I$1</c:f>
              <c:numCache>
                <c:formatCode>General</c:formatCode>
                <c:ptCount val="8"/>
                <c:pt idx="0">
                  <c:v>2010</c:v>
                </c:pt>
                <c:pt idx="1">
                  <c:v>2011</c:v>
                </c:pt>
                <c:pt idx="2">
                  <c:v>2012</c:v>
                </c:pt>
                <c:pt idx="3">
                  <c:v>2013</c:v>
                </c:pt>
                <c:pt idx="4">
                  <c:v>2014</c:v>
                </c:pt>
                <c:pt idx="5">
                  <c:v>2015</c:v>
                </c:pt>
                <c:pt idx="6">
                  <c:v>2016</c:v>
                </c:pt>
                <c:pt idx="7">
                  <c:v>2017</c:v>
                </c:pt>
              </c:numCache>
            </c:numRef>
          </c:cat>
          <c:val>
            <c:numRef>
              <c:f>'Munka1 (2)'!$B$4:$I$4</c:f>
              <c:numCache>
                <c:formatCode>General</c:formatCode>
                <c:ptCount val="8"/>
                <c:pt idx="0">
                  <c:v>13.6</c:v>
                </c:pt>
                <c:pt idx="1">
                  <c:v>13.9</c:v>
                </c:pt>
                <c:pt idx="2">
                  <c:v>14</c:v>
                </c:pt>
                <c:pt idx="3">
                  <c:v>15</c:v>
                </c:pt>
                <c:pt idx="4">
                  <c:v>16.600000000000001</c:v>
                </c:pt>
                <c:pt idx="5">
                  <c:v>15.5</c:v>
                </c:pt>
                <c:pt idx="6">
                  <c:v>15.2</c:v>
                </c:pt>
                <c:pt idx="7">
                  <c:v>16.2</c:v>
                </c:pt>
              </c:numCache>
            </c:numRef>
          </c:val>
          <c:extLst xmlns:c16r2="http://schemas.microsoft.com/office/drawing/2015/06/chart">
            <c:ext xmlns:c16="http://schemas.microsoft.com/office/drawing/2014/chart" uri="{C3380CC4-5D6E-409C-BE32-E72D297353CC}">
              <c16:uniqueId val="{00000002-EA8F-4ACD-A75A-BE54E2320DDF}"/>
            </c:ext>
          </c:extLst>
        </c:ser>
        <c:ser>
          <c:idx val="3"/>
          <c:order val="3"/>
          <c:tx>
            <c:strRef>
              <c:f>'Munka1 (2)'!$A$5</c:f>
              <c:strCache>
                <c:ptCount val="1"/>
                <c:pt idx="0">
                  <c:v>egészségügy, testápolás, ruházkodás</c:v>
                </c:pt>
              </c:strCache>
            </c:strRef>
          </c:tx>
          <c:spPr>
            <a:solidFill>
              <a:schemeClr val="accent4">
                <a:alpha val="85000"/>
              </a:schemeClr>
            </a:solidFill>
            <a:ln>
              <a:noFill/>
            </a:ln>
            <a:effectLst>
              <a:innerShdw dist="12700" dir="16200000">
                <a:schemeClr val="lt1"/>
              </a:innerShdw>
            </a:effectLst>
          </c:spPr>
          <c:cat>
            <c:numRef>
              <c:f>'Munka1 (2)'!$B$1:$I$1</c:f>
              <c:numCache>
                <c:formatCode>General</c:formatCode>
                <c:ptCount val="8"/>
                <c:pt idx="0">
                  <c:v>2010</c:v>
                </c:pt>
                <c:pt idx="1">
                  <c:v>2011</c:v>
                </c:pt>
                <c:pt idx="2">
                  <c:v>2012</c:v>
                </c:pt>
                <c:pt idx="3">
                  <c:v>2013</c:v>
                </c:pt>
                <c:pt idx="4">
                  <c:v>2014</c:v>
                </c:pt>
                <c:pt idx="5">
                  <c:v>2015</c:v>
                </c:pt>
                <c:pt idx="6">
                  <c:v>2016</c:v>
                </c:pt>
                <c:pt idx="7">
                  <c:v>2017</c:v>
                </c:pt>
              </c:numCache>
            </c:numRef>
          </c:cat>
          <c:val>
            <c:numRef>
              <c:f>'Munka1 (2)'!$B$5:$I$5</c:f>
              <c:numCache>
                <c:formatCode>General</c:formatCode>
                <c:ptCount val="8"/>
                <c:pt idx="0">
                  <c:v>10.9</c:v>
                </c:pt>
                <c:pt idx="1">
                  <c:v>9.6999999999999993</c:v>
                </c:pt>
                <c:pt idx="2">
                  <c:v>9.6999999999999993</c:v>
                </c:pt>
                <c:pt idx="3">
                  <c:v>9.4</c:v>
                </c:pt>
                <c:pt idx="4">
                  <c:v>9.5</c:v>
                </c:pt>
                <c:pt idx="5">
                  <c:v>8.6</c:v>
                </c:pt>
                <c:pt idx="6">
                  <c:v>8.3000000000000007</c:v>
                </c:pt>
                <c:pt idx="7">
                  <c:v>8.5</c:v>
                </c:pt>
              </c:numCache>
            </c:numRef>
          </c:val>
          <c:extLst xmlns:c16r2="http://schemas.microsoft.com/office/drawing/2015/06/chart">
            <c:ext xmlns:c16="http://schemas.microsoft.com/office/drawing/2014/chart" uri="{C3380CC4-5D6E-409C-BE32-E72D297353CC}">
              <c16:uniqueId val="{00000003-EA8F-4ACD-A75A-BE54E2320DDF}"/>
            </c:ext>
          </c:extLst>
        </c:ser>
        <c:ser>
          <c:idx val="4"/>
          <c:order val="4"/>
          <c:tx>
            <c:strRef>
              <c:f>'Munka1 (2)'!$A$6</c:f>
              <c:strCache>
                <c:ptCount val="1"/>
                <c:pt idx="0">
                  <c:v>oktatás, művelődés</c:v>
                </c:pt>
              </c:strCache>
            </c:strRef>
          </c:tx>
          <c:spPr>
            <a:solidFill>
              <a:schemeClr val="accent5">
                <a:alpha val="85000"/>
              </a:schemeClr>
            </a:solidFill>
            <a:ln>
              <a:noFill/>
            </a:ln>
            <a:effectLst>
              <a:innerShdw dist="12700" dir="16200000">
                <a:schemeClr val="lt1"/>
              </a:innerShdw>
            </a:effectLst>
          </c:spPr>
          <c:cat>
            <c:numRef>
              <c:f>'Munka1 (2)'!$B$1:$I$1</c:f>
              <c:numCache>
                <c:formatCode>General</c:formatCode>
                <c:ptCount val="8"/>
                <c:pt idx="0">
                  <c:v>2010</c:v>
                </c:pt>
                <c:pt idx="1">
                  <c:v>2011</c:v>
                </c:pt>
                <c:pt idx="2">
                  <c:v>2012</c:v>
                </c:pt>
                <c:pt idx="3">
                  <c:v>2013</c:v>
                </c:pt>
                <c:pt idx="4">
                  <c:v>2014</c:v>
                </c:pt>
                <c:pt idx="5">
                  <c:v>2015</c:v>
                </c:pt>
                <c:pt idx="6">
                  <c:v>2016</c:v>
                </c:pt>
                <c:pt idx="7">
                  <c:v>2017</c:v>
                </c:pt>
              </c:numCache>
            </c:numRef>
          </c:cat>
          <c:val>
            <c:numRef>
              <c:f>'Munka1 (2)'!$B$6:$I$6</c:f>
              <c:numCache>
                <c:formatCode>General</c:formatCode>
                <c:ptCount val="8"/>
                <c:pt idx="0">
                  <c:v>4.4000000000000004</c:v>
                </c:pt>
                <c:pt idx="1">
                  <c:v>3.6</c:v>
                </c:pt>
                <c:pt idx="2">
                  <c:v>4.5999999999999996</c:v>
                </c:pt>
                <c:pt idx="3">
                  <c:v>4.7</c:v>
                </c:pt>
                <c:pt idx="4">
                  <c:v>4.5999999999999996</c:v>
                </c:pt>
                <c:pt idx="5">
                  <c:v>5.3</c:v>
                </c:pt>
                <c:pt idx="6">
                  <c:v>5.9</c:v>
                </c:pt>
                <c:pt idx="7">
                  <c:v>6</c:v>
                </c:pt>
              </c:numCache>
            </c:numRef>
          </c:val>
          <c:extLst xmlns:c16r2="http://schemas.microsoft.com/office/drawing/2015/06/chart">
            <c:ext xmlns:c16="http://schemas.microsoft.com/office/drawing/2014/chart" uri="{C3380CC4-5D6E-409C-BE32-E72D297353CC}">
              <c16:uniqueId val="{00000004-EA8F-4ACD-A75A-BE54E2320DDF}"/>
            </c:ext>
          </c:extLst>
        </c:ser>
        <c:ser>
          <c:idx val="5"/>
          <c:order val="5"/>
          <c:tx>
            <c:strRef>
              <c:f>'Munka1 (2)'!$A$7</c:f>
              <c:strCache>
                <c:ptCount val="1"/>
                <c:pt idx="0">
                  <c:v>egyéb</c:v>
                </c:pt>
              </c:strCache>
            </c:strRef>
          </c:tx>
          <c:spPr>
            <a:solidFill>
              <a:schemeClr val="accent6">
                <a:alpha val="85000"/>
              </a:schemeClr>
            </a:solidFill>
            <a:ln>
              <a:noFill/>
            </a:ln>
            <a:effectLst>
              <a:innerShdw dist="12700" dir="16200000">
                <a:schemeClr val="lt1"/>
              </a:innerShdw>
            </a:effectLst>
          </c:spPr>
          <c:cat>
            <c:numRef>
              <c:f>'Munka1 (2)'!$B$1:$I$1</c:f>
              <c:numCache>
                <c:formatCode>General</c:formatCode>
                <c:ptCount val="8"/>
                <c:pt idx="0">
                  <c:v>2010</c:v>
                </c:pt>
                <c:pt idx="1">
                  <c:v>2011</c:v>
                </c:pt>
                <c:pt idx="2">
                  <c:v>2012</c:v>
                </c:pt>
                <c:pt idx="3">
                  <c:v>2013</c:v>
                </c:pt>
                <c:pt idx="4">
                  <c:v>2014</c:v>
                </c:pt>
                <c:pt idx="5">
                  <c:v>2015</c:v>
                </c:pt>
                <c:pt idx="6">
                  <c:v>2016</c:v>
                </c:pt>
                <c:pt idx="7">
                  <c:v>2017</c:v>
                </c:pt>
              </c:numCache>
            </c:numRef>
          </c:cat>
          <c:val>
            <c:numRef>
              <c:f>'Munka1 (2)'!$B$7:$I$7</c:f>
              <c:numCache>
                <c:formatCode>General</c:formatCode>
                <c:ptCount val="8"/>
                <c:pt idx="0">
                  <c:v>8.5999999999999943</c:v>
                </c:pt>
                <c:pt idx="1">
                  <c:v>10.100000000000009</c:v>
                </c:pt>
                <c:pt idx="2">
                  <c:v>8.6000000000000085</c:v>
                </c:pt>
                <c:pt idx="3">
                  <c:v>9.0999999999999943</c:v>
                </c:pt>
                <c:pt idx="4">
                  <c:v>9.9000000000000057</c:v>
                </c:pt>
                <c:pt idx="5">
                  <c:v>17</c:v>
                </c:pt>
                <c:pt idx="6">
                  <c:v>16.799999999999997</c:v>
                </c:pt>
                <c:pt idx="7">
                  <c:v>16.400000000000006</c:v>
                </c:pt>
              </c:numCache>
            </c:numRef>
          </c:val>
          <c:extLst xmlns:c16r2="http://schemas.microsoft.com/office/drawing/2015/06/chart">
            <c:ext xmlns:c16="http://schemas.microsoft.com/office/drawing/2014/chart" uri="{C3380CC4-5D6E-409C-BE32-E72D297353CC}">
              <c16:uniqueId val="{00000005-EA8F-4ACD-A75A-BE54E2320DDF}"/>
            </c:ext>
          </c:extLst>
        </c:ser>
        <c:dLbls>
          <c:showLegendKey val="0"/>
          <c:showVal val="0"/>
          <c:showCatName val="0"/>
          <c:showSerName val="0"/>
          <c:showPercent val="0"/>
          <c:showBubbleSize val="0"/>
        </c:dLbls>
        <c:axId val="431734360"/>
        <c:axId val="431729656"/>
      </c:areaChart>
      <c:catAx>
        <c:axId val="4317343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hu-HU"/>
          </a:p>
        </c:txPr>
        <c:crossAx val="431729656"/>
        <c:crosses val="autoZero"/>
        <c:auto val="1"/>
        <c:lblAlgn val="ctr"/>
        <c:lblOffset val="100"/>
        <c:noMultiLvlLbl val="0"/>
      </c:catAx>
      <c:valAx>
        <c:axId val="43172965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hu-HU"/>
          </a:p>
        </c:txPr>
        <c:crossAx val="431734360"/>
        <c:crosses val="autoZero"/>
        <c:crossBetween val="midCat"/>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hu-H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9">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65000"/>
        <a:lumOff val="35000"/>
      </a:schemeClr>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
  <cs:dataPoint3D>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6BC8B-1744-46DF-85EF-091358EF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1427</Words>
  <Characters>9849</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Ambrus Kiss</dc:creator>
  <cp:keywords/>
  <dc:description/>
  <cp:lastModifiedBy>Ambrus Kiss</cp:lastModifiedBy>
  <cp:revision>2</cp:revision>
  <cp:lastPrinted>2020-07-03T06:49:00Z</cp:lastPrinted>
  <dcterms:created xsi:type="dcterms:W3CDTF">2020-09-17T19:22:00Z</dcterms:created>
  <dcterms:modified xsi:type="dcterms:W3CDTF">2020-09-17T19:22:00Z</dcterms:modified>
</cp:coreProperties>
</file>